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D5A70" w14:textId="77777777" w:rsidR="002E5059" w:rsidRPr="00DE4AE9" w:rsidRDefault="002E5059" w:rsidP="002E5059">
      <w:pPr>
        <w:jc w:val="center"/>
        <w:rPr>
          <w:rFonts w:ascii="Newzald Book" w:hAnsi="Newzald Book"/>
          <w:b/>
          <w:bCs/>
          <w:color w:val="1A1730"/>
          <w:sz w:val="28"/>
          <w:szCs w:val="28"/>
        </w:rPr>
      </w:pPr>
      <w:r w:rsidRPr="00DE4AE9">
        <w:rPr>
          <w:rFonts w:ascii="Newzald Book" w:hAnsi="Newzald Book"/>
          <w:b/>
          <w:bCs/>
          <w:i/>
          <w:iCs/>
          <w:color w:val="1A1730"/>
          <w:sz w:val="28"/>
          <w:szCs w:val="28"/>
        </w:rPr>
        <w:softHyphen/>
      </w:r>
      <w:r w:rsidRPr="00DE4AE9">
        <w:rPr>
          <w:rFonts w:ascii="Newzald Book" w:hAnsi="Newzald Book"/>
          <w:b/>
          <w:bCs/>
          <w:i/>
          <w:iCs/>
          <w:color w:val="1A1730"/>
          <w:sz w:val="28"/>
          <w:szCs w:val="28"/>
        </w:rPr>
        <w:softHyphen/>
      </w:r>
      <w:r w:rsidRPr="00DE4AE9">
        <w:rPr>
          <w:rFonts w:ascii="Newzald Book" w:hAnsi="Newzald Book"/>
          <w:b/>
          <w:bCs/>
          <w:i/>
          <w:iCs/>
          <w:color w:val="1A1730"/>
          <w:sz w:val="28"/>
          <w:szCs w:val="28"/>
        </w:rPr>
        <w:softHyphen/>
        <w:t>environmental SCIENTIST</w:t>
      </w:r>
      <w:r w:rsidRPr="00DE4AE9">
        <w:rPr>
          <w:rFonts w:ascii="Newzald Book" w:hAnsi="Newzald Book"/>
          <w:b/>
          <w:bCs/>
          <w:color w:val="1A1730"/>
          <w:sz w:val="28"/>
          <w:szCs w:val="28"/>
        </w:rPr>
        <w:t xml:space="preserve"> journal: Learning Resource Notes</w:t>
      </w:r>
    </w:p>
    <w:p w14:paraId="63B3538D" w14:textId="77777777" w:rsidR="002E5059" w:rsidRPr="00630BDF" w:rsidRDefault="002E5059" w:rsidP="002E5059">
      <w:pPr>
        <w:pStyle w:val="NoSpacing"/>
        <w:jc w:val="both"/>
        <w:rPr>
          <w:rFonts w:ascii="Work Sans" w:hAnsi="Work Sans"/>
        </w:rPr>
      </w:pPr>
      <w:r w:rsidRPr="00630BDF">
        <w:rPr>
          <w:rFonts w:ascii="Work Sans" w:hAnsi="Work Sans"/>
        </w:rPr>
        <w:t xml:space="preserve">The purpose of these educational resource notes is to provide a format for informal, seminar-style discussions of the topics explored in the latest edition of the journal of the Institution of Environmental Sciences. </w:t>
      </w:r>
    </w:p>
    <w:p w14:paraId="71993265" w14:textId="77777777" w:rsidR="002E5059" w:rsidRPr="00630BDF" w:rsidRDefault="002E5059" w:rsidP="002E5059">
      <w:pPr>
        <w:pStyle w:val="NoSpacing"/>
        <w:jc w:val="both"/>
        <w:rPr>
          <w:rFonts w:ascii="Work Sans" w:hAnsi="Work Sans"/>
        </w:rPr>
      </w:pPr>
      <w:r w:rsidRPr="00630BDF">
        <w:rPr>
          <w:rFonts w:ascii="Work Sans" w:hAnsi="Work Sans"/>
        </w:rPr>
        <w:t xml:space="preserve"> </w:t>
      </w:r>
    </w:p>
    <w:p w14:paraId="1D2F354B" w14:textId="77777777" w:rsidR="002E5059" w:rsidRPr="00630BDF" w:rsidRDefault="002E5059" w:rsidP="002E5059">
      <w:pPr>
        <w:pStyle w:val="NoSpacing"/>
        <w:jc w:val="both"/>
        <w:rPr>
          <w:rFonts w:ascii="Work Sans" w:hAnsi="Work Sans"/>
        </w:rPr>
      </w:pPr>
      <w:r w:rsidRPr="00630BDF">
        <w:rPr>
          <w:rFonts w:ascii="Work Sans" w:hAnsi="Work Sans"/>
        </w:rPr>
        <w:t>Through discussion of the ideas and issues presented within the journal, they aim to supplement and enhance students’ knowledge and understanding of a broad range of environmental science issues and provide insights into the professional concerns of practising environmental scientists.</w:t>
      </w:r>
    </w:p>
    <w:p w14:paraId="371C479A" w14:textId="77777777" w:rsidR="002E5059" w:rsidRPr="00630BDF" w:rsidRDefault="002E5059" w:rsidP="002E5059">
      <w:pPr>
        <w:pStyle w:val="NoSpacing"/>
        <w:rPr>
          <w:rFonts w:ascii="Work Sans" w:hAnsi="Work Sans"/>
          <w:b/>
          <w:bCs/>
        </w:rPr>
      </w:pPr>
    </w:p>
    <w:p w14:paraId="52F3B21D" w14:textId="77777777" w:rsidR="002E5059" w:rsidRPr="00630BDF" w:rsidRDefault="002E5059" w:rsidP="002E5059">
      <w:pPr>
        <w:pStyle w:val="NoSpacing"/>
        <w:rPr>
          <w:rFonts w:ascii="Work Sans" w:hAnsi="Work Sans"/>
          <w:b/>
          <w:bCs/>
        </w:rPr>
      </w:pPr>
      <w:r w:rsidRPr="00630BDF">
        <w:rPr>
          <w:rFonts w:ascii="Work Sans" w:hAnsi="Work Sans"/>
          <w:b/>
          <w:bCs/>
        </w:rPr>
        <w:t xml:space="preserve">Articles in focus </w:t>
      </w:r>
    </w:p>
    <w:p w14:paraId="6A04F433" w14:textId="77777777" w:rsidR="002E5059" w:rsidRPr="00630BDF" w:rsidRDefault="002E5059" w:rsidP="002E5059">
      <w:pPr>
        <w:pStyle w:val="NoSpacing"/>
        <w:jc w:val="both"/>
        <w:rPr>
          <w:rFonts w:ascii="Work Sans" w:hAnsi="Work Sans"/>
          <w:color w:val="000000"/>
        </w:rPr>
      </w:pPr>
      <w:r w:rsidRPr="00630BDF">
        <w:rPr>
          <w:rFonts w:ascii="Work Sans" w:hAnsi="Work Sans"/>
        </w:rPr>
        <w:t>The below articles have been selected as particularly relevant for in-depth discussion, allowing for wider debate of the key elements of the article topic. S</w:t>
      </w:r>
      <w:r w:rsidRPr="00630BDF">
        <w:rPr>
          <w:rFonts w:ascii="Work Sans" w:hAnsi="Work Sans"/>
          <w:color w:val="000000"/>
        </w:rPr>
        <w:t xml:space="preserve">ome </w:t>
      </w:r>
      <w:r w:rsidRPr="00630BDF">
        <w:rPr>
          <w:rFonts w:ascii="Work Sans" w:hAnsi="Work Sans"/>
        </w:rPr>
        <w:t>specific</w:t>
      </w:r>
      <w:r w:rsidRPr="00630BDF">
        <w:rPr>
          <w:rFonts w:ascii="Work Sans" w:hAnsi="Work Sans"/>
          <w:color w:val="000000"/>
        </w:rPr>
        <w:t xml:space="preserve"> questions you may </w:t>
      </w:r>
      <w:r w:rsidRPr="00630BDF">
        <w:rPr>
          <w:rFonts w:ascii="Work Sans" w:hAnsi="Work Sans"/>
        </w:rPr>
        <w:t>wish</w:t>
      </w:r>
      <w:r w:rsidRPr="00630BDF">
        <w:rPr>
          <w:rFonts w:ascii="Work Sans" w:hAnsi="Work Sans"/>
          <w:color w:val="000000"/>
        </w:rPr>
        <w:t xml:space="preserve"> to consider when reading and discussing </w:t>
      </w:r>
      <w:r w:rsidRPr="00630BDF">
        <w:rPr>
          <w:rFonts w:ascii="Work Sans" w:hAnsi="Work Sans"/>
        </w:rPr>
        <w:t xml:space="preserve">these </w:t>
      </w:r>
      <w:r w:rsidRPr="00630BDF">
        <w:rPr>
          <w:rFonts w:ascii="Work Sans" w:hAnsi="Work Sans"/>
          <w:color w:val="000000"/>
        </w:rPr>
        <w:t>articles </w:t>
      </w:r>
      <w:r w:rsidRPr="00630BDF">
        <w:rPr>
          <w:rFonts w:ascii="Work Sans" w:hAnsi="Work Sans"/>
        </w:rPr>
        <w:t>are outlined.</w:t>
      </w:r>
      <w:r w:rsidRPr="00630BDF">
        <w:rPr>
          <w:rFonts w:ascii="Work Sans" w:hAnsi="Work Sans"/>
          <w:color w:val="000000"/>
        </w:rPr>
        <w:t xml:space="preserve"> </w:t>
      </w:r>
    </w:p>
    <w:p w14:paraId="716FFD7A" w14:textId="77777777" w:rsidR="002E5059" w:rsidRPr="00630BDF" w:rsidRDefault="002E5059" w:rsidP="002E5059">
      <w:pPr>
        <w:pStyle w:val="NoSpacing"/>
        <w:jc w:val="both"/>
        <w:rPr>
          <w:rFonts w:ascii="Work Sans" w:hAnsi="Work Sans"/>
          <w:color w:val="000000"/>
        </w:rPr>
      </w:pPr>
    </w:p>
    <w:p w14:paraId="705C29F4" w14:textId="77777777" w:rsidR="002E5059" w:rsidRPr="00630BDF" w:rsidRDefault="002E5059" w:rsidP="002E5059">
      <w:pPr>
        <w:pStyle w:val="NoSpacing"/>
        <w:rPr>
          <w:rFonts w:ascii="Work Sans" w:hAnsi="Work Sans"/>
        </w:rPr>
      </w:pPr>
    </w:p>
    <w:tbl>
      <w:tblPr>
        <w:tblStyle w:val="TableGrid"/>
        <w:tblW w:w="9498" w:type="dxa"/>
        <w:tblInd w:w="-5" w:type="dxa"/>
        <w:tblLook w:val="04A0" w:firstRow="1" w:lastRow="0" w:firstColumn="1" w:lastColumn="0" w:noHBand="0" w:noVBand="1"/>
      </w:tblPr>
      <w:tblGrid>
        <w:gridCol w:w="1696"/>
        <w:gridCol w:w="7802"/>
      </w:tblGrid>
      <w:tr w:rsidR="002E5059" w:rsidRPr="00630BDF" w14:paraId="465DCF73" w14:textId="77777777" w:rsidTr="0016438A">
        <w:trPr>
          <w:trHeight w:val="1375"/>
        </w:trPr>
        <w:tc>
          <w:tcPr>
            <w:tcW w:w="1696" w:type="dxa"/>
            <w:shd w:val="clear" w:color="auto" w:fill="D9D9D9" w:themeFill="background1" w:themeFillShade="D9"/>
            <w:vAlign w:val="center"/>
          </w:tcPr>
          <w:p w14:paraId="1AC26091" w14:textId="77777777" w:rsidR="002E5059" w:rsidRPr="00630BDF" w:rsidRDefault="002E5059" w:rsidP="0016438A">
            <w:pPr>
              <w:rPr>
                <w:rFonts w:ascii="Work Sans" w:hAnsi="Work Sans"/>
              </w:rPr>
            </w:pPr>
            <w:r w:rsidRPr="00630BDF">
              <w:rPr>
                <w:rFonts w:ascii="Work Sans" w:hAnsi="Work Sans"/>
              </w:rPr>
              <w:t>Learning outcomes</w:t>
            </w:r>
          </w:p>
        </w:tc>
        <w:tc>
          <w:tcPr>
            <w:tcW w:w="7802" w:type="dxa"/>
            <w:vAlign w:val="center"/>
          </w:tcPr>
          <w:p w14:paraId="2DFF55F2" w14:textId="1D5F11C1" w:rsidR="002E5059" w:rsidRPr="00630BDF" w:rsidRDefault="002E5059" w:rsidP="0016438A">
            <w:pPr>
              <w:pStyle w:val="ListParagraph"/>
              <w:numPr>
                <w:ilvl w:val="0"/>
                <w:numId w:val="1"/>
              </w:numPr>
              <w:rPr>
                <w:rFonts w:ascii="Work Sans" w:hAnsi="Work Sans"/>
              </w:rPr>
            </w:pPr>
            <w:r w:rsidRPr="00630BDF">
              <w:rPr>
                <w:rFonts w:ascii="Work Sans" w:hAnsi="Work Sans"/>
              </w:rPr>
              <w:t xml:space="preserve">Understand the main </w:t>
            </w:r>
            <w:r w:rsidR="00990E6B" w:rsidRPr="00630BDF">
              <w:rPr>
                <w:rFonts w:ascii="Work Sans" w:hAnsi="Work Sans"/>
              </w:rPr>
              <w:t>concepts and challenges</w:t>
            </w:r>
            <w:r w:rsidRPr="00630BDF">
              <w:rPr>
                <w:rFonts w:ascii="Work Sans" w:hAnsi="Work Sans"/>
              </w:rPr>
              <w:t xml:space="preserve"> discussed in the </w:t>
            </w:r>
            <w:proofErr w:type="gramStart"/>
            <w:r w:rsidR="005D0820" w:rsidRPr="00630BDF">
              <w:rPr>
                <w:rFonts w:ascii="Work Sans" w:hAnsi="Work Sans"/>
              </w:rPr>
              <w:t>edition</w:t>
            </w:r>
            <w:proofErr w:type="gramEnd"/>
          </w:p>
          <w:p w14:paraId="3790F264" w14:textId="5EC8EBE4" w:rsidR="002E5059" w:rsidRPr="00630BDF" w:rsidRDefault="002E5059" w:rsidP="0016438A">
            <w:pPr>
              <w:pStyle w:val="ListParagraph"/>
              <w:numPr>
                <w:ilvl w:val="0"/>
                <w:numId w:val="1"/>
              </w:numPr>
              <w:rPr>
                <w:rFonts w:ascii="Work Sans" w:hAnsi="Work Sans"/>
              </w:rPr>
            </w:pPr>
            <w:r w:rsidRPr="00630BDF">
              <w:rPr>
                <w:rFonts w:ascii="Work Sans" w:hAnsi="Work Sans"/>
              </w:rPr>
              <w:t xml:space="preserve">Describe the </w:t>
            </w:r>
            <w:r w:rsidR="00990E6B" w:rsidRPr="00630BDF">
              <w:rPr>
                <w:rFonts w:ascii="Work Sans" w:hAnsi="Work Sans"/>
              </w:rPr>
              <w:t xml:space="preserve">conclusions reached by authors, </w:t>
            </w:r>
            <w:r w:rsidRPr="00630BDF">
              <w:rPr>
                <w:rFonts w:ascii="Work Sans" w:hAnsi="Work Sans"/>
              </w:rPr>
              <w:t xml:space="preserve">and </w:t>
            </w:r>
            <w:r w:rsidR="00990E6B" w:rsidRPr="00630BDF">
              <w:rPr>
                <w:rFonts w:ascii="Work Sans" w:hAnsi="Work Sans"/>
              </w:rPr>
              <w:t xml:space="preserve">identify </w:t>
            </w:r>
            <w:r w:rsidRPr="00630BDF">
              <w:rPr>
                <w:rFonts w:ascii="Work Sans" w:hAnsi="Work Sans"/>
              </w:rPr>
              <w:t xml:space="preserve">their relevance to the environmental science </w:t>
            </w:r>
            <w:proofErr w:type="gramStart"/>
            <w:r w:rsidRPr="00630BDF">
              <w:rPr>
                <w:rFonts w:ascii="Work Sans" w:hAnsi="Work Sans"/>
              </w:rPr>
              <w:t>sector</w:t>
            </w:r>
            <w:proofErr w:type="gramEnd"/>
          </w:p>
          <w:p w14:paraId="4EAFB920" w14:textId="534A537F" w:rsidR="002E5059" w:rsidRPr="00630BDF" w:rsidRDefault="002E5059" w:rsidP="0016438A">
            <w:pPr>
              <w:pStyle w:val="ListParagraph"/>
              <w:numPr>
                <w:ilvl w:val="0"/>
                <w:numId w:val="1"/>
              </w:numPr>
              <w:rPr>
                <w:rFonts w:ascii="Work Sans" w:hAnsi="Work Sans"/>
              </w:rPr>
            </w:pPr>
            <w:r w:rsidRPr="00630BDF">
              <w:rPr>
                <w:rFonts w:ascii="Work Sans" w:hAnsi="Work Sans"/>
              </w:rPr>
              <w:t xml:space="preserve">Critically reflect on the </w:t>
            </w:r>
            <w:r w:rsidR="00990E6B" w:rsidRPr="00630BDF">
              <w:rPr>
                <w:rFonts w:ascii="Work Sans" w:hAnsi="Work Sans"/>
              </w:rPr>
              <w:t xml:space="preserve">ideas presented </w:t>
            </w:r>
          </w:p>
        </w:tc>
      </w:tr>
      <w:tr w:rsidR="002E5059" w:rsidRPr="00630BDF" w14:paraId="468D8679" w14:textId="77777777" w:rsidTr="0016438A">
        <w:trPr>
          <w:trHeight w:val="3110"/>
        </w:trPr>
        <w:tc>
          <w:tcPr>
            <w:tcW w:w="1696" w:type="dxa"/>
            <w:shd w:val="clear" w:color="auto" w:fill="D9D9D9" w:themeFill="background1" w:themeFillShade="D9"/>
            <w:vAlign w:val="center"/>
          </w:tcPr>
          <w:p w14:paraId="17EC4BEA" w14:textId="77777777" w:rsidR="002E5059" w:rsidRPr="00630BDF" w:rsidRDefault="002E5059" w:rsidP="0016438A">
            <w:pPr>
              <w:rPr>
                <w:rFonts w:ascii="Work Sans" w:hAnsi="Work Sans"/>
              </w:rPr>
            </w:pPr>
            <w:r w:rsidRPr="00630BDF">
              <w:rPr>
                <w:rFonts w:ascii="Work Sans" w:hAnsi="Work Sans"/>
              </w:rPr>
              <w:t>Format</w:t>
            </w:r>
          </w:p>
        </w:tc>
        <w:tc>
          <w:tcPr>
            <w:tcW w:w="7802" w:type="dxa"/>
            <w:vAlign w:val="center"/>
          </w:tcPr>
          <w:p w14:paraId="5F292161" w14:textId="08E8E221" w:rsidR="002E5059" w:rsidRPr="00630BDF" w:rsidRDefault="002E5059" w:rsidP="0016438A">
            <w:pPr>
              <w:pStyle w:val="NoSpacing"/>
              <w:numPr>
                <w:ilvl w:val="0"/>
                <w:numId w:val="1"/>
              </w:numPr>
              <w:rPr>
                <w:rFonts w:ascii="Work Sans" w:hAnsi="Work Sans"/>
              </w:rPr>
            </w:pPr>
            <w:r w:rsidRPr="00630BDF">
              <w:rPr>
                <w:rFonts w:ascii="Work Sans" w:hAnsi="Work Sans"/>
              </w:rPr>
              <w:t xml:space="preserve">Articles of particular interest are to be selected and shared with the group to read ahead of the discussion. Suggestions of focus articles are </w:t>
            </w:r>
            <w:r w:rsidR="005D0820" w:rsidRPr="00630BDF">
              <w:rPr>
                <w:rFonts w:ascii="Work Sans" w:hAnsi="Work Sans"/>
              </w:rPr>
              <w:t>described below.</w:t>
            </w:r>
          </w:p>
          <w:p w14:paraId="47F26A1E" w14:textId="75555417" w:rsidR="002E5059" w:rsidRPr="00630BDF" w:rsidRDefault="002E5059" w:rsidP="0016438A">
            <w:pPr>
              <w:pStyle w:val="NoSpacing"/>
              <w:numPr>
                <w:ilvl w:val="0"/>
                <w:numId w:val="1"/>
              </w:numPr>
              <w:rPr>
                <w:rFonts w:ascii="Work Sans" w:hAnsi="Work Sans"/>
              </w:rPr>
            </w:pPr>
            <w:r w:rsidRPr="00630BDF">
              <w:rPr>
                <w:rFonts w:ascii="Work Sans" w:hAnsi="Work Sans"/>
              </w:rPr>
              <w:t>Small group discussions of articles that closely relate to programme content to supplement learning</w:t>
            </w:r>
            <w:r w:rsidR="000B57CC" w:rsidRPr="00630BDF">
              <w:rPr>
                <w:rFonts w:ascii="Work Sans" w:hAnsi="Work Sans"/>
              </w:rPr>
              <w:t>.</w:t>
            </w:r>
          </w:p>
          <w:p w14:paraId="39DDDF9C" w14:textId="6587E2DA" w:rsidR="002E5059" w:rsidRPr="00630BDF" w:rsidRDefault="002E5059" w:rsidP="0016438A">
            <w:pPr>
              <w:pStyle w:val="NoSpacing"/>
              <w:numPr>
                <w:ilvl w:val="0"/>
                <w:numId w:val="1"/>
              </w:numPr>
              <w:rPr>
                <w:rFonts w:ascii="Work Sans" w:hAnsi="Work Sans"/>
              </w:rPr>
            </w:pPr>
            <w:r w:rsidRPr="00630BDF">
              <w:rPr>
                <w:rFonts w:ascii="Work Sans" w:hAnsi="Work Sans"/>
              </w:rPr>
              <w:t>Discussions can be led by participants or the tutor, using the ‘articles in focus’ resource to prompt debate and aid the conversation</w:t>
            </w:r>
            <w:r w:rsidR="000B57CC" w:rsidRPr="00630BDF">
              <w:rPr>
                <w:rFonts w:ascii="Work Sans" w:hAnsi="Work Sans"/>
              </w:rPr>
              <w:t>.</w:t>
            </w:r>
          </w:p>
          <w:p w14:paraId="0FD82DEE" w14:textId="6AAAE065" w:rsidR="002E5059" w:rsidRPr="00630BDF" w:rsidRDefault="002E5059" w:rsidP="0016438A">
            <w:pPr>
              <w:pStyle w:val="NoSpacing"/>
              <w:numPr>
                <w:ilvl w:val="0"/>
                <w:numId w:val="1"/>
              </w:numPr>
              <w:rPr>
                <w:rFonts w:ascii="Work Sans" w:hAnsi="Work Sans"/>
              </w:rPr>
            </w:pPr>
            <w:r w:rsidRPr="00630BDF">
              <w:rPr>
                <w:rFonts w:ascii="Work Sans" w:hAnsi="Work Sans"/>
              </w:rPr>
              <w:t>The suggested discussion points and questions provided in this pack for selected articles can be used as a starting point to guide the discussion</w:t>
            </w:r>
            <w:r w:rsidR="000B57CC" w:rsidRPr="00630BDF">
              <w:rPr>
                <w:rFonts w:ascii="Work Sans" w:hAnsi="Work Sans"/>
              </w:rPr>
              <w:t>.</w:t>
            </w:r>
          </w:p>
          <w:p w14:paraId="7366B729" w14:textId="7F7C8F77" w:rsidR="002E5059" w:rsidRPr="00630BDF" w:rsidRDefault="002E5059" w:rsidP="0016438A">
            <w:pPr>
              <w:pStyle w:val="NoSpacing"/>
              <w:numPr>
                <w:ilvl w:val="0"/>
                <w:numId w:val="1"/>
              </w:numPr>
              <w:rPr>
                <w:rFonts w:ascii="Work Sans" w:hAnsi="Work Sans"/>
              </w:rPr>
            </w:pPr>
            <w:r w:rsidRPr="00630BDF">
              <w:rPr>
                <w:rFonts w:ascii="Work Sans" w:hAnsi="Work Sans"/>
              </w:rPr>
              <w:t>Students can be encouraged to choose to discuss any of the other articles within the issue</w:t>
            </w:r>
            <w:r w:rsidR="000B57CC" w:rsidRPr="00630BDF">
              <w:rPr>
                <w:rFonts w:ascii="Work Sans" w:hAnsi="Work Sans"/>
              </w:rPr>
              <w:t>.</w:t>
            </w:r>
          </w:p>
        </w:tc>
      </w:tr>
    </w:tbl>
    <w:p w14:paraId="3E6C9D0F" w14:textId="77777777" w:rsidR="002E5059" w:rsidRPr="00630BDF" w:rsidRDefault="002E5059" w:rsidP="002E5059">
      <w:pPr>
        <w:rPr>
          <w:rFonts w:ascii="Work Sans" w:hAnsi="Work Sans"/>
          <w:sz w:val="20"/>
          <w:szCs w:val="20"/>
        </w:rPr>
      </w:pPr>
    </w:p>
    <w:p w14:paraId="67D21EC4" w14:textId="48F0FBF6" w:rsidR="002E5059" w:rsidRPr="00630BDF" w:rsidRDefault="002E5059" w:rsidP="002E5059">
      <w:pPr>
        <w:rPr>
          <w:rFonts w:ascii="Work Sans" w:hAnsi="Work Sans"/>
          <w:b/>
          <w:bCs/>
        </w:rPr>
      </w:pPr>
      <w:r w:rsidRPr="00630BDF">
        <w:rPr>
          <w:rFonts w:ascii="Work Sans" w:hAnsi="Work Sans"/>
          <w:noProof/>
          <w14:ligatures w14:val="standardContextual"/>
        </w:rPr>
        <w:drawing>
          <wp:anchor distT="0" distB="0" distL="114300" distR="114300" simplePos="0" relativeHeight="251658240" behindDoc="0" locked="0" layoutInCell="1" allowOverlap="1" wp14:anchorId="011B0FDA" wp14:editId="015CE5A6">
            <wp:simplePos x="0" y="0"/>
            <wp:positionH relativeFrom="column">
              <wp:posOffset>30480</wp:posOffset>
            </wp:positionH>
            <wp:positionV relativeFrom="paragraph">
              <wp:posOffset>38735</wp:posOffset>
            </wp:positionV>
            <wp:extent cx="1575435" cy="2276475"/>
            <wp:effectExtent l="0" t="0" r="5715" b="9525"/>
            <wp:wrapSquare wrapText="bothSides"/>
            <wp:docPr id="1600721181" name="Picture 16007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21181" name="Picture 1600721181"/>
                    <pic:cNvPicPr/>
                  </pic:nvPicPr>
                  <pic:blipFill>
                    <a:blip r:embed="rId10">
                      <a:extLst>
                        <a:ext uri="{28A0092B-C50C-407E-A947-70E740481C1C}">
                          <a14:useLocalDpi xmlns:a14="http://schemas.microsoft.com/office/drawing/2010/main" val="0"/>
                        </a:ext>
                      </a:extLst>
                    </a:blip>
                    <a:stretch>
                      <a:fillRect/>
                    </a:stretch>
                  </pic:blipFill>
                  <pic:spPr>
                    <a:xfrm>
                      <a:off x="0" y="0"/>
                      <a:ext cx="1575435" cy="2276475"/>
                    </a:xfrm>
                    <a:prstGeom prst="rect">
                      <a:avLst/>
                    </a:prstGeom>
                  </pic:spPr>
                </pic:pic>
              </a:graphicData>
            </a:graphic>
            <wp14:sizeRelH relativeFrom="margin">
              <wp14:pctWidth>0</wp14:pctWidth>
            </wp14:sizeRelH>
            <wp14:sizeRelV relativeFrom="margin">
              <wp14:pctHeight>0</wp14:pctHeight>
            </wp14:sizeRelV>
          </wp:anchor>
        </w:drawing>
      </w:r>
      <w:r w:rsidRPr="00630BDF">
        <w:rPr>
          <w:rFonts w:ascii="Work Sans" w:hAnsi="Work Sans"/>
        </w:rPr>
        <w:t>e</w:t>
      </w:r>
      <w:r w:rsidRPr="00630BDF">
        <w:rPr>
          <w:rFonts w:ascii="Work Sans" w:hAnsi="Work Sans"/>
          <w:i/>
          <w:iCs/>
        </w:rPr>
        <w:t>nvironmental SCIENTIST</w:t>
      </w:r>
      <w:r w:rsidRPr="00630BDF">
        <w:rPr>
          <w:rFonts w:ascii="Work Sans" w:hAnsi="Work Sans"/>
          <w:b/>
          <w:bCs/>
        </w:rPr>
        <w:br/>
      </w:r>
      <w:r w:rsidR="00F35269" w:rsidRPr="00630BDF">
        <w:rPr>
          <w:rFonts w:ascii="Work Sans" w:hAnsi="Work Sans"/>
          <w:b/>
          <w:bCs/>
        </w:rPr>
        <w:t>Counting on Net Gain</w:t>
      </w:r>
      <w:r w:rsidRPr="00630BDF">
        <w:rPr>
          <w:rFonts w:ascii="Work Sans" w:hAnsi="Work Sans"/>
          <w:b/>
          <w:bCs/>
        </w:rPr>
        <w:br/>
      </w:r>
      <w:r w:rsidRPr="00630BDF">
        <w:rPr>
          <w:rFonts w:ascii="Work Sans" w:hAnsi="Work Sans"/>
        </w:rPr>
        <w:t>Vol 3</w:t>
      </w:r>
      <w:r w:rsidR="00401F43" w:rsidRPr="00630BDF">
        <w:rPr>
          <w:rFonts w:ascii="Work Sans" w:hAnsi="Work Sans"/>
        </w:rPr>
        <w:t>4</w:t>
      </w:r>
      <w:r w:rsidRPr="00630BDF">
        <w:rPr>
          <w:rFonts w:ascii="Work Sans" w:hAnsi="Work Sans"/>
        </w:rPr>
        <w:t xml:space="preserve">, issue </w:t>
      </w:r>
      <w:proofErr w:type="gramStart"/>
      <w:r w:rsidR="00F35269" w:rsidRPr="00630BDF">
        <w:rPr>
          <w:rFonts w:ascii="Work Sans" w:hAnsi="Work Sans"/>
        </w:rPr>
        <w:t>3</w:t>
      </w:r>
      <w:proofErr w:type="gramEnd"/>
    </w:p>
    <w:p w14:paraId="280CFD85" w14:textId="78DED5B3" w:rsidR="002E5059" w:rsidRPr="00630BDF" w:rsidRDefault="00DE4AE9" w:rsidP="002E5059">
      <w:pPr>
        <w:pStyle w:val="NoSpacing"/>
        <w:rPr>
          <w:rFonts w:ascii="Work Sans" w:hAnsi="Work Sans"/>
          <w:b/>
          <w:bCs/>
        </w:rPr>
      </w:pPr>
      <w:hyperlink r:id="rId11" w:history="1">
        <w:r w:rsidR="00401F43" w:rsidRPr="00630BDF">
          <w:rPr>
            <w:rStyle w:val="Hyperlink"/>
            <w:rFonts w:ascii="Work Sans" w:hAnsi="Work Sans"/>
          </w:rPr>
          <w:t>https://www.the-ies.org/resources/counting-net-gain</w:t>
        </w:r>
      </w:hyperlink>
      <w:r w:rsidR="00401F43" w:rsidRPr="00630BDF">
        <w:rPr>
          <w:rFonts w:ascii="Work Sans" w:hAnsi="Work Sans"/>
        </w:rPr>
        <w:t xml:space="preserve"> </w:t>
      </w:r>
    </w:p>
    <w:p w14:paraId="15669FC6" w14:textId="77777777" w:rsidR="002E5059" w:rsidRPr="00630BDF" w:rsidRDefault="002E5059" w:rsidP="002E5059">
      <w:pPr>
        <w:pStyle w:val="NoSpacing"/>
        <w:rPr>
          <w:rFonts w:ascii="Work Sans" w:hAnsi="Work Sans"/>
          <w:b/>
          <w:bCs/>
          <w:sz w:val="30"/>
          <w:szCs w:val="30"/>
        </w:rPr>
      </w:pPr>
    </w:p>
    <w:p w14:paraId="1D0C3B36" w14:textId="77777777" w:rsidR="002E5059" w:rsidRPr="00630BDF" w:rsidRDefault="002E5059" w:rsidP="002E5059">
      <w:pPr>
        <w:pStyle w:val="NoSpacing"/>
        <w:rPr>
          <w:rFonts w:ascii="Work Sans" w:hAnsi="Work Sans"/>
          <w:b/>
          <w:bCs/>
          <w:sz w:val="30"/>
          <w:szCs w:val="30"/>
        </w:rPr>
      </w:pPr>
    </w:p>
    <w:p w14:paraId="794836A5" w14:textId="77777777" w:rsidR="002E5059" w:rsidRPr="00630BDF" w:rsidRDefault="002E5059" w:rsidP="002E5059">
      <w:pPr>
        <w:pStyle w:val="NoSpacing"/>
        <w:rPr>
          <w:rFonts w:ascii="Work Sans" w:hAnsi="Work Sans"/>
          <w:b/>
          <w:bCs/>
          <w:sz w:val="30"/>
          <w:szCs w:val="30"/>
        </w:rPr>
      </w:pPr>
    </w:p>
    <w:p w14:paraId="62654256" w14:textId="77777777" w:rsidR="002E5059" w:rsidRPr="00630BDF" w:rsidRDefault="002E5059" w:rsidP="002E5059">
      <w:pPr>
        <w:pStyle w:val="NoSpacing"/>
        <w:rPr>
          <w:rFonts w:ascii="Work Sans" w:hAnsi="Work Sans"/>
          <w:b/>
          <w:bCs/>
          <w:sz w:val="2"/>
          <w:szCs w:val="2"/>
        </w:rPr>
      </w:pPr>
    </w:p>
    <w:tbl>
      <w:tblPr>
        <w:tblStyle w:val="TableGrid"/>
        <w:tblW w:w="9498" w:type="dxa"/>
        <w:tblInd w:w="-5" w:type="dxa"/>
        <w:tblLook w:val="04A0" w:firstRow="1" w:lastRow="0" w:firstColumn="1" w:lastColumn="0" w:noHBand="0" w:noVBand="1"/>
      </w:tblPr>
      <w:tblGrid>
        <w:gridCol w:w="1985"/>
        <w:gridCol w:w="7513"/>
      </w:tblGrid>
      <w:tr w:rsidR="002E5059" w:rsidRPr="00630BDF" w14:paraId="41D35787" w14:textId="77777777" w:rsidTr="07E5716C">
        <w:trPr>
          <w:trHeight w:val="2162"/>
        </w:trPr>
        <w:tc>
          <w:tcPr>
            <w:tcW w:w="1985" w:type="dxa"/>
            <w:shd w:val="clear" w:color="auto" w:fill="D9D9D9" w:themeFill="background1" w:themeFillShade="D9"/>
            <w:vAlign w:val="center"/>
          </w:tcPr>
          <w:p w14:paraId="61AEDABF" w14:textId="77777777" w:rsidR="002E5059" w:rsidRPr="00630BDF" w:rsidRDefault="002E5059" w:rsidP="0016438A">
            <w:pPr>
              <w:rPr>
                <w:rFonts w:ascii="Work Sans" w:hAnsi="Work Sans"/>
                <w:b/>
                <w:bCs/>
              </w:rPr>
            </w:pPr>
            <w:r w:rsidRPr="00630BDF">
              <w:rPr>
                <w:rFonts w:ascii="Work Sans" w:hAnsi="Work Sans"/>
                <w:b/>
                <w:bCs/>
              </w:rPr>
              <w:lastRenderedPageBreak/>
              <w:t xml:space="preserve">Topic overview </w:t>
            </w:r>
          </w:p>
        </w:tc>
        <w:tc>
          <w:tcPr>
            <w:tcW w:w="7513" w:type="dxa"/>
            <w:vAlign w:val="center"/>
          </w:tcPr>
          <w:p w14:paraId="1D8662BC" w14:textId="5C982E04" w:rsidR="00630BDF" w:rsidRPr="00630BDF" w:rsidRDefault="00630BDF" w:rsidP="07E5716C">
            <w:pPr>
              <w:pStyle w:val="NormalWeb"/>
              <w:shd w:val="clear" w:color="auto" w:fill="FFFFFF" w:themeFill="background1"/>
              <w:spacing w:before="120" w:beforeAutospacing="0" w:after="240" w:afterAutospacing="0"/>
              <w:rPr>
                <w:rFonts w:ascii="Work Sans" w:hAnsi="Work Sans"/>
                <w:color w:val="000000"/>
                <w:sz w:val="20"/>
                <w:szCs w:val="20"/>
              </w:rPr>
            </w:pPr>
            <w:r w:rsidRPr="07E5716C">
              <w:rPr>
                <w:rFonts w:ascii="Work Sans" w:hAnsi="Work Sans"/>
                <w:color w:val="000000" w:themeColor="text1"/>
                <w:sz w:val="20"/>
                <w:szCs w:val="20"/>
              </w:rPr>
              <w:t xml:space="preserve">This issue of the journal examines an idea that </w:t>
            </w:r>
            <w:r w:rsidR="19A9E3AA" w:rsidRPr="07E5716C">
              <w:rPr>
                <w:rFonts w:ascii="Work Sans" w:hAnsi="Work Sans"/>
                <w:color w:val="000000" w:themeColor="text1"/>
                <w:sz w:val="20"/>
                <w:szCs w:val="20"/>
              </w:rPr>
              <w:t>has been</w:t>
            </w:r>
            <w:r w:rsidRPr="07E5716C">
              <w:rPr>
                <w:rFonts w:ascii="Work Sans" w:hAnsi="Work Sans"/>
                <w:color w:val="000000" w:themeColor="text1"/>
                <w:sz w:val="20"/>
                <w:szCs w:val="20"/>
              </w:rPr>
              <w:t xml:space="preserve"> gaining traction in environmental thinking: net gain.</w:t>
            </w:r>
          </w:p>
          <w:p w14:paraId="478685FC" w14:textId="77777777" w:rsidR="00630BDF" w:rsidRPr="00630BDF" w:rsidRDefault="00630BDF" w:rsidP="00630BDF">
            <w:pPr>
              <w:pStyle w:val="NormalWeb"/>
              <w:shd w:val="clear" w:color="auto" w:fill="FFFFFF"/>
              <w:spacing w:before="120" w:beforeAutospacing="0" w:after="240" w:afterAutospacing="0"/>
              <w:rPr>
                <w:rFonts w:ascii="Work Sans" w:hAnsi="Work Sans"/>
                <w:color w:val="000000"/>
                <w:sz w:val="20"/>
                <w:szCs w:val="20"/>
              </w:rPr>
            </w:pPr>
            <w:r w:rsidRPr="00630BDF">
              <w:rPr>
                <w:rFonts w:ascii="Work Sans" w:hAnsi="Work Sans"/>
                <w:color w:val="000000"/>
                <w:sz w:val="20"/>
                <w:szCs w:val="20"/>
              </w:rPr>
              <w:t>Approaching this topic from a range of different disciplines and perspectives, articles in this issue of environmental SCIENTIST consider the opportunities and limitations of net gain, as a global policy and regulatory framework, and as a way of thinking that can shape our understanding of progress and development.</w:t>
            </w:r>
          </w:p>
          <w:p w14:paraId="0ECEFD86" w14:textId="154439B0" w:rsidR="00630BDF" w:rsidRPr="00630BDF" w:rsidRDefault="00630BDF" w:rsidP="00630BDF">
            <w:pPr>
              <w:pStyle w:val="NormalWeb"/>
              <w:shd w:val="clear" w:color="auto" w:fill="FFFFFF"/>
              <w:spacing w:before="120" w:beforeAutospacing="0" w:after="240" w:afterAutospacing="0"/>
              <w:rPr>
                <w:rFonts w:ascii="Work Sans" w:hAnsi="Work Sans"/>
                <w:color w:val="000000"/>
                <w:sz w:val="20"/>
                <w:szCs w:val="20"/>
              </w:rPr>
            </w:pPr>
            <w:r w:rsidRPr="00630BDF">
              <w:rPr>
                <w:rFonts w:ascii="Work Sans" w:hAnsi="Work Sans"/>
                <w:color w:val="000000"/>
                <w:sz w:val="20"/>
                <w:szCs w:val="20"/>
              </w:rPr>
              <w:t>Contributors in this issue examine specific policies, such as the now-mandatory Biodiversity Net Gain, which came into effect in England in February 2024, as well as broader conceptualisations of the term that incorporate marine life, the wider environment, and our society.</w:t>
            </w:r>
          </w:p>
          <w:p w14:paraId="35E0C384" w14:textId="10454431" w:rsidR="00630BDF" w:rsidRPr="00630BDF" w:rsidRDefault="00630BDF" w:rsidP="07E5716C">
            <w:pPr>
              <w:pStyle w:val="NormalWeb"/>
              <w:shd w:val="clear" w:color="auto" w:fill="FFFFFF" w:themeFill="background1"/>
              <w:spacing w:before="120" w:beforeAutospacing="0" w:after="240" w:afterAutospacing="0"/>
              <w:rPr>
                <w:rFonts w:ascii="Work Sans" w:hAnsi="Work Sans"/>
                <w:color w:val="000000"/>
                <w:sz w:val="20"/>
                <w:szCs w:val="20"/>
              </w:rPr>
            </w:pPr>
            <w:r w:rsidRPr="07E5716C">
              <w:rPr>
                <w:rFonts w:ascii="Work Sans" w:hAnsi="Work Sans"/>
                <w:color w:val="000000" w:themeColor="text1"/>
                <w:sz w:val="20"/>
                <w:szCs w:val="20"/>
              </w:rPr>
              <w:t>Situating net gain in a global context, articles will respond to important questions about its usage and implementation: including what challenges do policymakers face when addressing such complex and far-reaching goals? How can landowners and other stakeholders become engaged with long-term and complex environmental protection practices? Is net gain a concept that should be extended to other areas of environmental protection and policy, beyond just biodiversity?</w:t>
            </w:r>
          </w:p>
          <w:p w14:paraId="11C4B152" w14:textId="3749A28F" w:rsidR="00545646" w:rsidRPr="00630BDF" w:rsidRDefault="00630BDF" w:rsidP="00630BDF">
            <w:pPr>
              <w:pStyle w:val="NormalWeb"/>
              <w:shd w:val="clear" w:color="auto" w:fill="FFFFFF"/>
              <w:spacing w:before="120" w:beforeAutospacing="0" w:after="240" w:afterAutospacing="0"/>
              <w:rPr>
                <w:rFonts w:ascii="Work Sans" w:hAnsi="Work Sans"/>
                <w:color w:val="000000"/>
                <w:sz w:val="20"/>
                <w:szCs w:val="20"/>
              </w:rPr>
            </w:pPr>
            <w:r w:rsidRPr="00630BDF">
              <w:rPr>
                <w:rFonts w:ascii="Work Sans" w:hAnsi="Work Sans"/>
                <w:color w:val="000000"/>
                <w:sz w:val="20"/>
                <w:szCs w:val="20"/>
              </w:rPr>
              <w:t>By bringing together voices at the cutting edge of these sectors, this issue takes a holistic and informed perspective on the emergence of net gain both as a policy and an ideological framework.</w:t>
            </w:r>
          </w:p>
        </w:tc>
      </w:tr>
      <w:tr w:rsidR="002E5059" w:rsidRPr="00630BDF" w14:paraId="7DF946E9" w14:textId="77777777" w:rsidTr="07E5716C">
        <w:trPr>
          <w:trHeight w:val="289"/>
        </w:trPr>
        <w:tc>
          <w:tcPr>
            <w:tcW w:w="9498" w:type="dxa"/>
            <w:gridSpan w:val="2"/>
            <w:shd w:val="clear" w:color="auto" w:fill="D9D9D9" w:themeFill="background1" w:themeFillShade="D9"/>
          </w:tcPr>
          <w:p w14:paraId="63D1AD7C" w14:textId="77777777" w:rsidR="002E5059" w:rsidRPr="00630BDF" w:rsidRDefault="002E5059" w:rsidP="0016438A">
            <w:pPr>
              <w:pStyle w:val="NoSpacing"/>
              <w:jc w:val="center"/>
              <w:rPr>
                <w:rFonts w:ascii="Work Sans" w:hAnsi="Work Sans"/>
                <w:b/>
                <w:bCs/>
              </w:rPr>
            </w:pPr>
            <w:r w:rsidRPr="00630BDF">
              <w:rPr>
                <w:rFonts w:ascii="Work Sans" w:hAnsi="Work Sans"/>
                <w:b/>
                <w:bCs/>
              </w:rPr>
              <w:t>Articles in focus</w:t>
            </w:r>
          </w:p>
        </w:tc>
      </w:tr>
      <w:tr w:rsidR="002E5059" w:rsidRPr="00630BDF" w14:paraId="63532093" w14:textId="77777777" w:rsidTr="07E5716C">
        <w:trPr>
          <w:trHeight w:val="965"/>
        </w:trPr>
        <w:tc>
          <w:tcPr>
            <w:tcW w:w="1985" w:type="dxa"/>
            <w:vMerge w:val="restart"/>
            <w:shd w:val="clear" w:color="auto" w:fill="D9D9D9" w:themeFill="background1" w:themeFillShade="D9"/>
            <w:vAlign w:val="center"/>
          </w:tcPr>
          <w:p w14:paraId="5F2242D1" w14:textId="0A8232C1" w:rsidR="002E5059" w:rsidRPr="00630BDF" w:rsidRDefault="008107A6" w:rsidP="0016438A">
            <w:pPr>
              <w:rPr>
                <w:rFonts w:ascii="Work Sans" w:hAnsi="Work Sans"/>
                <w:b/>
                <w:bCs/>
              </w:rPr>
            </w:pPr>
            <w:r w:rsidRPr="00630BDF">
              <w:rPr>
                <w:rFonts w:ascii="Work Sans" w:hAnsi="Work Sans"/>
                <w:b/>
                <w:bCs/>
              </w:rPr>
              <w:t>‘</w:t>
            </w:r>
            <w:r w:rsidR="004213A8">
              <w:rPr>
                <w:rFonts w:ascii="Work Sans" w:hAnsi="Work Sans"/>
                <w:b/>
                <w:bCs/>
              </w:rPr>
              <w:t>Brownfield regeneration and biodiversity net gain’</w:t>
            </w:r>
          </w:p>
          <w:p w14:paraId="406A349A" w14:textId="77777777" w:rsidR="002E5059" w:rsidRPr="00630BDF" w:rsidRDefault="002E5059" w:rsidP="0016438A">
            <w:pPr>
              <w:rPr>
                <w:rFonts w:ascii="Work Sans" w:hAnsi="Work Sans"/>
                <w:b/>
                <w:bCs/>
              </w:rPr>
            </w:pPr>
          </w:p>
          <w:p w14:paraId="4570C845" w14:textId="6990DE33" w:rsidR="002E5059" w:rsidRPr="00630BDF" w:rsidRDefault="008107A6" w:rsidP="0016438A">
            <w:pPr>
              <w:rPr>
                <w:rFonts w:ascii="Work Sans" w:hAnsi="Work Sans"/>
                <w:b/>
                <w:bCs/>
              </w:rPr>
            </w:pPr>
            <w:r w:rsidRPr="00630BDF">
              <w:rPr>
                <w:rFonts w:ascii="Work Sans" w:hAnsi="Work Sans"/>
                <w:b/>
                <w:bCs/>
              </w:rPr>
              <w:t>(</w:t>
            </w:r>
            <w:r w:rsidR="004213A8">
              <w:rPr>
                <w:rFonts w:ascii="Work Sans" w:hAnsi="Work Sans"/>
                <w:b/>
                <w:bCs/>
              </w:rPr>
              <w:t>Jon Davies and Tom Henman, p. 12</w:t>
            </w:r>
            <w:r w:rsidR="002E5059" w:rsidRPr="00630BDF">
              <w:rPr>
                <w:rFonts w:ascii="Work Sans" w:hAnsi="Work Sans"/>
                <w:b/>
                <w:bCs/>
              </w:rPr>
              <w:t>)</w:t>
            </w:r>
          </w:p>
        </w:tc>
        <w:tc>
          <w:tcPr>
            <w:tcW w:w="7513" w:type="dxa"/>
            <w:shd w:val="clear" w:color="auto" w:fill="E7E6E6" w:themeFill="background2"/>
            <w:vAlign w:val="center"/>
          </w:tcPr>
          <w:p w14:paraId="12BFCE1E" w14:textId="3408DF70" w:rsidR="002E5059" w:rsidRPr="00630BDF" w:rsidRDefault="002E5059" w:rsidP="0016438A">
            <w:pPr>
              <w:pStyle w:val="NoSpacing"/>
              <w:rPr>
                <w:rFonts w:ascii="Work Sans" w:hAnsi="Work Sans"/>
              </w:rPr>
            </w:pPr>
            <w:r w:rsidRPr="00630BDF">
              <w:rPr>
                <w:rFonts w:ascii="Work Sans" w:hAnsi="Work Sans"/>
                <w:b/>
                <w:bCs/>
              </w:rPr>
              <w:t>Article overview:</w:t>
            </w:r>
            <w:r w:rsidRPr="00630BDF">
              <w:rPr>
                <w:rFonts w:ascii="Work Sans" w:hAnsi="Work Sans"/>
              </w:rPr>
              <w:t xml:space="preserve"> </w:t>
            </w:r>
            <w:r w:rsidR="004213A8">
              <w:rPr>
                <w:rFonts w:ascii="Work Sans" w:hAnsi="Work Sans"/>
              </w:rPr>
              <w:t xml:space="preserve">This article looks at the challenges posed by brownfield sites </w:t>
            </w:r>
            <w:r w:rsidR="002D321B">
              <w:rPr>
                <w:rFonts w:ascii="Work Sans" w:hAnsi="Work Sans"/>
              </w:rPr>
              <w:t xml:space="preserve">when identifying areas for development </w:t>
            </w:r>
            <w:proofErr w:type="gramStart"/>
            <w:r w:rsidR="002D321B">
              <w:rPr>
                <w:rFonts w:ascii="Work Sans" w:hAnsi="Work Sans"/>
              </w:rPr>
              <w:t>in light of</w:t>
            </w:r>
            <w:proofErr w:type="gramEnd"/>
            <w:r w:rsidR="002D321B">
              <w:rPr>
                <w:rFonts w:ascii="Work Sans" w:hAnsi="Work Sans"/>
              </w:rPr>
              <w:t xml:space="preserve"> the biodiversity net gain policy.</w:t>
            </w:r>
          </w:p>
        </w:tc>
      </w:tr>
      <w:tr w:rsidR="002E5059" w:rsidRPr="00630BDF" w14:paraId="35A7A0A9" w14:textId="77777777" w:rsidTr="07E5716C">
        <w:trPr>
          <w:trHeight w:val="2539"/>
        </w:trPr>
        <w:tc>
          <w:tcPr>
            <w:tcW w:w="1985" w:type="dxa"/>
            <w:vMerge/>
          </w:tcPr>
          <w:p w14:paraId="071592C7" w14:textId="77777777" w:rsidR="002E5059" w:rsidRPr="00630BDF" w:rsidRDefault="002E5059" w:rsidP="0016438A">
            <w:pPr>
              <w:rPr>
                <w:rFonts w:ascii="Work Sans" w:hAnsi="Work Sans"/>
                <w:b/>
                <w:bCs/>
              </w:rPr>
            </w:pPr>
          </w:p>
        </w:tc>
        <w:tc>
          <w:tcPr>
            <w:tcW w:w="7513" w:type="dxa"/>
            <w:vAlign w:val="center"/>
          </w:tcPr>
          <w:p w14:paraId="2B358E70" w14:textId="0B3A0585" w:rsidR="002E5059" w:rsidRDefault="002C6C15" w:rsidP="0016438A">
            <w:pPr>
              <w:pStyle w:val="ListParagraph"/>
              <w:numPr>
                <w:ilvl w:val="0"/>
                <w:numId w:val="2"/>
              </w:numPr>
              <w:spacing w:after="160"/>
              <w:rPr>
                <w:rFonts w:ascii="Work Sans" w:hAnsi="Work Sans"/>
              </w:rPr>
            </w:pPr>
            <w:r>
              <w:rPr>
                <w:rFonts w:ascii="Work Sans" w:hAnsi="Work Sans"/>
              </w:rPr>
              <w:t xml:space="preserve">What does the new biodiversity net gain law require </w:t>
            </w:r>
            <w:r w:rsidR="00EB7D35">
              <w:rPr>
                <w:rFonts w:ascii="Work Sans" w:hAnsi="Work Sans"/>
              </w:rPr>
              <w:t>of developers?</w:t>
            </w:r>
          </w:p>
          <w:p w14:paraId="2D9279C9" w14:textId="2C0D053C" w:rsidR="00EB7D35" w:rsidRDefault="001107AB" w:rsidP="0016438A">
            <w:pPr>
              <w:pStyle w:val="ListParagraph"/>
              <w:numPr>
                <w:ilvl w:val="0"/>
                <w:numId w:val="2"/>
              </w:numPr>
              <w:spacing w:after="160"/>
              <w:rPr>
                <w:rFonts w:ascii="Work Sans" w:hAnsi="Work Sans"/>
              </w:rPr>
            </w:pPr>
            <w:r>
              <w:rPr>
                <w:rFonts w:ascii="Work Sans" w:hAnsi="Work Sans"/>
              </w:rPr>
              <w:t xml:space="preserve">Describe one of the challenges for developers when </w:t>
            </w:r>
            <w:r w:rsidR="00F87DD6">
              <w:rPr>
                <w:rFonts w:ascii="Work Sans" w:hAnsi="Work Sans"/>
              </w:rPr>
              <w:t>they are hoping to develop new housing on brownfield land.</w:t>
            </w:r>
          </w:p>
          <w:p w14:paraId="386C8142" w14:textId="3D45B7F1" w:rsidR="002C6C15" w:rsidRPr="00630BDF" w:rsidRDefault="00BA7B98" w:rsidP="0016438A">
            <w:pPr>
              <w:pStyle w:val="ListParagraph"/>
              <w:numPr>
                <w:ilvl w:val="0"/>
                <w:numId w:val="2"/>
              </w:numPr>
              <w:spacing w:after="160"/>
              <w:rPr>
                <w:rFonts w:ascii="Work Sans" w:hAnsi="Work Sans"/>
              </w:rPr>
            </w:pPr>
            <w:r>
              <w:rPr>
                <w:rFonts w:ascii="Work Sans" w:hAnsi="Work Sans"/>
              </w:rPr>
              <w:t>Discuss the value of other natural capital benefits that developing a brownfield site could offer, and weigh these up against the potential biodiversity benefits.</w:t>
            </w:r>
          </w:p>
        </w:tc>
      </w:tr>
      <w:tr w:rsidR="002E5059" w:rsidRPr="00630BDF" w14:paraId="67B49115" w14:textId="77777777" w:rsidTr="07E5716C">
        <w:trPr>
          <w:trHeight w:val="987"/>
        </w:trPr>
        <w:tc>
          <w:tcPr>
            <w:tcW w:w="1985" w:type="dxa"/>
            <w:vMerge w:val="restart"/>
            <w:shd w:val="clear" w:color="auto" w:fill="D9D9D9" w:themeFill="background1" w:themeFillShade="D9"/>
            <w:vAlign w:val="center"/>
          </w:tcPr>
          <w:p w14:paraId="641CAB71" w14:textId="1F62C816" w:rsidR="002E5059" w:rsidRPr="00630BDF" w:rsidRDefault="0011715C" w:rsidP="00795675">
            <w:pPr>
              <w:rPr>
                <w:rFonts w:ascii="Work Sans" w:hAnsi="Work Sans"/>
                <w:b/>
                <w:bCs/>
              </w:rPr>
            </w:pPr>
            <w:r w:rsidRPr="00630BDF">
              <w:rPr>
                <w:rFonts w:ascii="Work Sans" w:hAnsi="Work Sans"/>
                <w:b/>
                <w:bCs/>
              </w:rPr>
              <w:t>‘</w:t>
            </w:r>
            <w:r w:rsidR="00795675">
              <w:rPr>
                <w:rFonts w:ascii="Work Sans" w:hAnsi="Work Sans"/>
                <w:b/>
                <w:bCs/>
              </w:rPr>
              <w:t xml:space="preserve">Embedding marine net gain into offshore wind </w:t>
            </w:r>
            <w:proofErr w:type="gramStart"/>
            <w:r w:rsidR="00795675">
              <w:rPr>
                <w:rFonts w:ascii="Work Sans" w:hAnsi="Work Sans"/>
                <w:b/>
                <w:bCs/>
              </w:rPr>
              <w:t>farms’</w:t>
            </w:r>
            <w:proofErr w:type="gramEnd"/>
          </w:p>
          <w:p w14:paraId="3AE9F993" w14:textId="74BA2CE8" w:rsidR="002E5059" w:rsidRPr="00630BDF" w:rsidRDefault="005A560B" w:rsidP="0016438A">
            <w:pPr>
              <w:rPr>
                <w:rFonts w:ascii="Work Sans" w:hAnsi="Work Sans"/>
                <w:b/>
                <w:bCs/>
              </w:rPr>
            </w:pPr>
            <w:r w:rsidRPr="00630BDF">
              <w:rPr>
                <w:rFonts w:ascii="Work Sans" w:hAnsi="Work Sans"/>
                <w:b/>
                <w:bCs/>
              </w:rPr>
              <w:t>(</w:t>
            </w:r>
            <w:r w:rsidR="00795675">
              <w:rPr>
                <w:rFonts w:ascii="Work Sans" w:hAnsi="Work Sans"/>
                <w:b/>
                <w:bCs/>
              </w:rPr>
              <w:t xml:space="preserve">Bruno </w:t>
            </w:r>
            <w:proofErr w:type="spellStart"/>
            <w:r w:rsidR="00795675">
              <w:rPr>
                <w:rFonts w:ascii="Work Sans" w:hAnsi="Work Sans"/>
                <w:b/>
                <w:bCs/>
              </w:rPr>
              <w:t>Agochukwu</w:t>
            </w:r>
            <w:proofErr w:type="spellEnd"/>
            <w:r w:rsidR="00795675">
              <w:rPr>
                <w:rFonts w:ascii="Work Sans" w:hAnsi="Work Sans"/>
                <w:b/>
                <w:bCs/>
              </w:rPr>
              <w:t>, p. 66</w:t>
            </w:r>
            <w:r w:rsidRPr="00630BDF">
              <w:rPr>
                <w:rFonts w:ascii="Work Sans" w:hAnsi="Work Sans"/>
                <w:b/>
                <w:bCs/>
              </w:rPr>
              <w:t>)</w:t>
            </w:r>
          </w:p>
        </w:tc>
        <w:tc>
          <w:tcPr>
            <w:tcW w:w="7513" w:type="dxa"/>
            <w:shd w:val="clear" w:color="auto" w:fill="E7E6E6" w:themeFill="background2"/>
            <w:vAlign w:val="center"/>
          </w:tcPr>
          <w:p w14:paraId="3D1848FB" w14:textId="36275ED2" w:rsidR="002E5059" w:rsidRPr="00630BDF" w:rsidRDefault="002E5059" w:rsidP="0016438A">
            <w:pPr>
              <w:pStyle w:val="NoSpacing"/>
              <w:rPr>
                <w:rFonts w:ascii="Work Sans" w:hAnsi="Work Sans"/>
              </w:rPr>
            </w:pPr>
            <w:r w:rsidRPr="00630BDF">
              <w:rPr>
                <w:rFonts w:ascii="Work Sans" w:hAnsi="Work Sans"/>
                <w:b/>
                <w:bCs/>
              </w:rPr>
              <w:t>Article overview:</w:t>
            </w:r>
            <w:r w:rsidRPr="00630BDF">
              <w:rPr>
                <w:rFonts w:ascii="Work Sans" w:hAnsi="Work Sans"/>
              </w:rPr>
              <w:t xml:space="preserve"> </w:t>
            </w:r>
            <w:r w:rsidR="00795675">
              <w:rPr>
                <w:rFonts w:ascii="Work Sans" w:hAnsi="Work Sans"/>
              </w:rPr>
              <w:t xml:space="preserve">In this article, the author considers how the concept of marine net gain </w:t>
            </w:r>
            <w:r w:rsidR="00FE56D6">
              <w:rPr>
                <w:rFonts w:ascii="Work Sans" w:hAnsi="Work Sans"/>
              </w:rPr>
              <w:t>could</w:t>
            </w:r>
            <w:r w:rsidR="00795675">
              <w:rPr>
                <w:rFonts w:ascii="Work Sans" w:hAnsi="Work Sans"/>
              </w:rPr>
              <w:t xml:space="preserve"> be applied </w:t>
            </w:r>
            <w:r w:rsidR="00FF4F15">
              <w:rPr>
                <w:rFonts w:ascii="Work Sans" w:hAnsi="Work Sans"/>
              </w:rPr>
              <w:t xml:space="preserve">in the context of offshore wind farms, and the conflicting interests that </w:t>
            </w:r>
            <w:r w:rsidR="00FE56D6">
              <w:rPr>
                <w:rFonts w:ascii="Work Sans" w:hAnsi="Work Sans"/>
              </w:rPr>
              <w:t>are</w:t>
            </w:r>
            <w:r w:rsidR="00FF4F15">
              <w:rPr>
                <w:rFonts w:ascii="Work Sans" w:hAnsi="Work Sans"/>
              </w:rPr>
              <w:t xml:space="preserve"> brought to light when establishing a marine net gain approach to development in our oceans.</w:t>
            </w:r>
          </w:p>
        </w:tc>
      </w:tr>
      <w:tr w:rsidR="002E5059" w:rsidRPr="00630BDF" w14:paraId="76B6D917" w14:textId="77777777" w:rsidTr="07E5716C">
        <w:trPr>
          <w:trHeight w:val="2542"/>
        </w:trPr>
        <w:tc>
          <w:tcPr>
            <w:tcW w:w="1985" w:type="dxa"/>
            <w:vMerge/>
          </w:tcPr>
          <w:p w14:paraId="152ED2E9" w14:textId="77777777" w:rsidR="002E5059" w:rsidRPr="00630BDF" w:rsidRDefault="002E5059" w:rsidP="0016438A">
            <w:pPr>
              <w:rPr>
                <w:rFonts w:ascii="Work Sans" w:hAnsi="Work Sans"/>
                <w:b/>
                <w:bCs/>
              </w:rPr>
            </w:pPr>
          </w:p>
        </w:tc>
        <w:tc>
          <w:tcPr>
            <w:tcW w:w="7513" w:type="dxa"/>
            <w:vAlign w:val="center"/>
          </w:tcPr>
          <w:p w14:paraId="410749C8" w14:textId="17611C1B" w:rsidR="00187F06" w:rsidRDefault="008F59F6" w:rsidP="00315E34">
            <w:pPr>
              <w:pStyle w:val="ListParagraph"/>
              <w:numPr>
                <w:ilvl w:val="0"/>
                <w:numId w:val="4"/>
              </w:numPr>
              <w:rPr>
                <w:rFonts w:ascii="Work Sans" w:hAnsi="Work Sans"/>
              </w:rPr>
            </w:pPr>
            <w:r>
              <w:rPr>
                <w:rFonts w:ascii="Work Sans" w:hAnsi="Work Sans"/>
              </w:rPr>
              <w:t xml:space="preserve">Identify </w:t>
            </w:r>
            <w:r w:rsidR="00187F06">
              <w:rPr>
                <w:rFonts w:ascii="Work Sans" w:hAnsi="Work Sans"/>
              </w:rPr>
              <w:t>two</w:t>
            </w:r>
            <w:r w:rsidR="006975D1">
              <w:rPr>
                <w:rFonts w:ascii="Work Sans" w:hAnsi="Work Sans"/>
              </w:rPr>
              <w:t xml:space="preserve"> </w:t>
            </w:r>
            <w:r w:rsidR="00560F94">
              <w:rPr>
                <w:rFonts w:ascii="Work Sans" w:hAnsi="Work Sans"/>
              </w:rPr>
              <w:t xml:space="preserve">methods that offshore wind farm developers could adopt to </w:t>
            </w:r>
            <w:r w:rsidR="00187F06">
              <w:rPr>
                <w:rFonts w:ascii="Work Sans" w:hAnsi="Work Sans"/>
              </w:rPr>
              <w:t>improve the biodiversity impacts of their installations.</w:t>
            </w:r>
          </w:p>
          <w:p w14:paraId="5AE131CF" w14:textId="77777777" w:rsidR="00A1554B" w:rsidRDefault="00917743" w:rsidP="00315E34">
            <w:pPr>
              <w:pStyle w:val="ListParagraph"/>
              <w:numPr>
                <w:ilvl w:val="0"/>
                <w:numId w:val="4"/>
              </w:numPr>
              <w:rPr>
                <w:rFonts w:ascii="Work Sans" w:hAnsi="Work Sans"/>
              </w:rPr>
            </w:pPr>
            <w:r>
              <w:rPr>
                <w:rFonts w:ascii="Work Sans" w:hAnsi="Work Sans"/>
              </w:rPr>
              <w:t>Discuss how the measuremen</w:t>
            </w:r>
            <w:r w:rsidR="00537F9E">
              <w:rPr>
                <w:rFonts w:ascii="Work Sans" w:hAnsi="Work Sans"/>
              </w:rPr>
              <w:t>t of terrestrial biodiversity net gain differs from how marine net gain could be measured.</w:t>
            </w:r>
          </w:p>
          <w:p w14:paraId="06B8B2FA" w14:textId="7D99648F" w:rsidR="00537F9E" w:rsidRPr="00630BDF" w:rsidRDefault="00C36341" w:rsidP="00315E34">
            <w:pPr>
              <w:pStyle w:val="ListParagraph"/>
              <w:numPr>
                <w:ilvl w:val="0"/>
                <w:numId w:val="4"/>
              </w:numPr>
              <w:rPr>
                <w:rFonts w:ascii="Work Sans" w:hAnsi="Work Sans"/>
              </w:rPr>
            </w:pPr>
            <w:r>
              <w:rPr>
                <w:rFonts w:ascii="Work Sans" w:hAnsi="Work Sans"/>
              </w:rPr>
              <w:t xml:space="preserve">Evaluate </w:t>
            </w:r>
            <w:r w:rsidR="00A305AC">
              <w:rPr>
                <w:rFonts w:ascii="Work Sans" w:hAnsi="Work Sans"/>
              </w:rPr>
              <w:t xml:space="preserve">the </w:t>
            </w:r>
            <w:r w:rsidR="008F0EB6">
              <w:rPr>
                <w:rFonts w:ascii="Work Sans" w:hAnsi="Work Sans"/>
              </w:rPr>
              <w:t xml:space="preserve">barriers to establishing a marine net gain policy </w:t>
            </w:r>
            <w:proofErr w:type="gramStart"/>
            <w:r w:rsidR="008F0EB6">
              <w:rPr>
                <w:rFonts w:ascii="Work Sans" w:hAnsi="Work Sans"/>
              </w:rPr>
              <w:t>similar to</w:t>
            </w:r>
            <w:proofErr w:type="gramEnd"/>
            <w:r w:rsidR="008F0EB6">
              <w:rPr>
                <w:rFonts w:ascii="Work Sans" w:hAnsi="Work Sans"/>
              </w:rPr>
              <w:t xml:space="preserve"> the biodiversity net gain (BNG) policy, giving two examples.</w:t>
            </w:r>
          </w:p>
        </w:tc>
      </w:tr>
      <w:tr w:rsidR="002E5059" w:rsidRPr="00630BDF" w14:paraId="405D6986" w14:textId="77777777" w:rsidTr="07E5716C">
        <w:trPr>
          <w:trHeight w:val="983"/>
        </w:trPr>
        <w:tc>
          <w:tcPr>
            <w:tcW w:w="1985" w:type="dxa"/>
            <w:vMerge w:val="restart"/>
            <w:shd w:val="clear" w:color="auto" w:fill="D9D9D9" w:themeFill="background1" w:themeFillShade="D9"/>
          </w:tcPr>
          <w:p w14:paraId="5B588DCD" w14:textId="46A17F95" w:rsidR="002E5059" w:rsidRPr="00630BDF" w:rsidRDefault="0011715C" w:rsidP="0016438A">
            <w:pPr>
              <w:rPr>
                <w:rFonts w:ascii="Work Sans" w:hAnsi="Work Sans"/>
                <w:b/>
                <w:bCs/>
              </w:rPr>
            </w:pPr>
            <w:r w:rsidRPr="00630BDF">
              <w:rPr>
                <w:rFonts w:ascii="Work Sans" w:hAnsi="Work Sans"/>
                <w:b/>
                <w:bCs/>
              </w:rPr>
              <w:lastRenderedPageBreak/>
              <w:t>‘</w:t>
            </w:r>
            <w:r w:rsidR="00120194">
              <w:rPr>
                <w:rFonts w:ascii="Work Sans" w:hAnsi="Work Sans"/>
                <w:b/>
                <w:bCs/>
              </w:rPr>
              <w:t>What will biodiversity net gain mean for smaller builders?</w:t>
            </w:r>
            <w:r w:rsidRPr="00630BDF">
              <w:rPr>
                <w:rFonts w:ascii="Work Sans" w:hAnsi="Work Sans"/>
                <w:b/>
                <w:bCs/>
              </w:rPr>
              <w:t>’ (</w:t>
            </w:r>
            <w:r w:rsidR="00120194">
              <w:rPr>
                <w:rFonts w:ascii="Work Sans" w:hAnsi="Work Sans"/>
                <w:b/>
                <w:bCs/>
              </w:rPr>
              <w:t xml:space="preserve">Rico Wojtulewicz, p. </w:t>
            </w:r>
            <w:r w:rsidR="00B91D28">
              <w:rPr>
                <w:rFonts w:ascii="Work Sans" w:hAnsi="Work Sans"/>
                <w:b/>
                <w:bCs/>
              </w:rPr>
              <w:t>92</w:t>
            </w:r>
            <w:r w:rsidRPr="00630BDF">
              <w:rPr>
                <w:rFonts w:ascii="Work Sans" w:hAnsi="Work Sans"/>
                <w:b/>
                <w:bCs/>
              </w:rPr>
              <w:t>)</w:t>
            </w:r>
          </w:p>
        </w:tc>
        <w:tc>
          <w:tcPr>
            <w:tcW w:w="7513" w:type="dxa"/>
            <w:shd w:val="clear" w:color="auto" w:fill="E7E6E6" w:themeFill="background2"/>
            <w:vAlign w:val="center"/>
          </w:tcPr>
          <w:p w14:paraId="6F44E04A" w14:textId="792A1826" w:rsidR="002E5059" w:rsidRPr="00630BDF" w:rsidRDefault="002E5059" w:rsidP="0016438A">
            <w:pPr>
              <w:pStyle w:val="NoSpacing"/>
              <w:rPr>
                <w:rFonts w:ascii="Work Sans" w:hAnsi="Work Sans"/>
                <w:highlight w:val="yellow"/>
              </w:rPr>
            </w:pPr>
            <w:r w:rsidRPr="00630BDF">
              <w:rPr>
                <w:rFonts w:ascii="Work Sans" w:hAnsi="Work Sans"/>
                <w:b/>
                <w:bCs/>
              </w:rPr>
              <w:t>Article overview</w:t>
            </w:r>
            <w:r w:rsidR="004B0761" w:rsidRPr="00630BDF">
              <w:rPr>
                <w:rFonts w:ascii="Work Sans" w:hAnsi="Work Sans"/>
                <w:b/>
                <w:bCs/>
              </w:rPr>
              <w:t xml:space="preserve">: </w:t>
            </w:r>
            <w:r w:rsidR="00B91D28">
              <w:rPr>
                <w:rFonts w:ascii="Work Sans" w:hAnsi="Work Sans"/>
              </w:rPr>
              <w:t xml:space="preserve">In this article, the author takes a critical perspective on the biodiversity net gain policy, to examine how the </w:t>
            </w:r>
            <w:r w:rsidR="00590C43">
              <w:rPr>
                <w:rFonts w:ascii="Work Sans" w:hAnsi="Work Sans"/>
              </w:rPr>
              <w:t xml:space="preserve">new mandatory requirements will affect smaller builders and their business needs. </w:t>
            </w:r>
          </w:p>
        </w:tc>
      </w:tr>
      <w:tr w:rsidR="002E5059" w:rsidRPr="00630BDF" w14:paraId="7B3FBD0A" w14:textId="77777777" w:rsidTr="07E5716C">
        <w:trPr>
          <w:trHeight w:val="2560"/>
        </w:trPr>
        <w:tc>
          <w:tcPr>
            <w:tcW w:w="1985" w:type="dxa"/>
            <w:vMerge/>
          </w:tcPr>
          <w:p w14:paraId="5AA61038" w14:textId="77777777" w:rsidR="002E5059" w:rsidRPr="00630BDF" w:rsidRDefault="002E5059" w:rsidP="0016438A">
            <w:pPr>
              <w:rPr>
                <w:rFonts w:ascii="Work Sans" w:hAnsi="Work Sans"/>
                <w:b/>
                <w:bCs/>
              </w:rPr>
            </w:pPr>
          </w:p>
        </w:tc>
        <w:tc>
          <w:tcPr>
            <w:tcW w:w="7513" w:type="dxa"/>
            <w:vAlign w:val="center"/>
          </w:tcPr>
          <w:p w14:paraId="7C701E32" w14:textId="532354E7" w:rsidR="002118FE" w:rsidRDefault="002B297D" w:rsidP="0016438A">
            <w:pPr>
              <w:pStyle w:val="ListParagraph"/>
              <w:numPr>
                <w:ilvl w:val="0"/>
                <w:numId w:val="3"/>
              </w:numPr>
              <w:spacing w:after="160" w:line="259" w:lineRule="auto"/>
              <w:rPr>
                <w:rFonts w:ascii="Work Sans" w:hAnsi="Work Sans"/>
              </w:rPr>
            </w:pPr>
            <w:r>
              <w:rPr>
                <w:rFonts w:ascii="Work Sans" w:hAnsi="Work Sans"/>
              </w:rPr>
              <w:t>This author describes the benefits of on-site BNG</w:t>
            </w:r>
            <w:r w:rsidR="009632BF">
              <w:rPr>
                <w:rFonts w:ascii="Work Sans" w:hAnsi="Work Sans"/>
              </w:rPr>
              <w:t>. What advantages might off-site BNG have compared to on-site BNG?</w:t>
            </w:r>
          </w:p>
          <w:p w14:paraId="06EF6B6C" w14:textId="1DE54B8B" w:rsidR="009632BF" w:rsidRDefault="002F5A6D" w:rsidP="0016438A">
            <w:pPr>
              <w:pStyle w:val="ListParagraph"/>
              <w:numPr>
                <w:ilvl w:val="0"/>
                <w:numId w:val="3"/>
              </w:numPr>
              <w:spacing w:after="160" w:line="259" w:lineRule="auto"/>
              <w:rPr>
                <w:rFonts w:ascii="Work Sans" w:hAnsi="Work Sans"/>
              </w:rPr>
            </w:pPr>
            <w:r w:rsidRPr="07E5716C">
              <w:rPr>
                <w:rFonts w:ascii="Work Sans" w:hAnsi="Work Sans"/>
              </w:rPr>
              <w:t>Choose a case study to discuss from the bullet point list on p.</w:t>
            </w:r>
            <w:r w:rsidR="00184E79" w:rsidRPr="07E5716C">
              <w:rPr>
                <w:rFonts w:ascii="Work Sans" w:hAnsi="Work Sans"/>
              </w:rPr>
              <w:t xml:space="preserve"> 95-96. </w:t>
            </w:r>
            <w:r w:rsidR="00E679CD" w:rsidRPr="07E5716C">
              <w:rPr>
                <w:rFonts w:ascii="Work Sans" w:hAnsi="Work Sans"/>
              </w:rPr>
              <w:t xml:space="preserve">How do these scenarios </w:t>
            </w:r>
            <w:r w:rsidR="04F5EAA8" w:rsidRPr="07E5716C">
              <w:rPr>
                <w:rFonts w:ascii="Work Sans" w:hAnsi="Work Sans"/>
              </w:rPr>
              <w:t>demonstrate</w:t>
            </w:r>
            <w:r w:rsidR="00E679CD" w:rsidRPr="07E5716C">
              <w:rPr>
                <w:rFonts w:ascii="Work Sans" w:hAnsi="Work Sans"/>
              </w:rPr>
              <w:t xml:space="preserve"> the challenges of BNG for smaller builders and developers?</w:t>
            </w:r>
          </w:p>
          <w:p w14:paraId="1C2CBC47" w14:textId="3DD023FA" w:rsidR="00E679CD" w:rsidRPr="00630BDF" w:rsidRDefault="007577D3" w:rsidP="0016438A">
            <w:pPr>
              <w:pStyle w:val="ListParagraph"/>
              <w:numPr>
                <w:ilvl w:val="0"/>
                <w:numId w:val="3"/>
              </w:numPr>
              <w:spacing w:after="160" w:line="259" w:lineRule="auto"/>
              <w:rPr>
                <w:rFonts w:ascii="Work Sans" w:hAnsi="Work Sans"/>
              </w:rPr>
            </w:pPr>
            <w:r>
              <w:rPr>
                <w:rFonts w:ascii="Work Sans" w:hAnsi="Work Sans"/>
              </w:rPr>
              <w:t>Analyse how BNG can impact the value of land</w:t>
            </w:r>
            <w:r w:rsidR="007B1453">
              <w:rPr>
                <w:rFonts w:ascii="Work Sans" w:hAnsi="Work Sans"/>
              </w:rPr>
              <w:t xml:space="preserve"> to developers.</w:t>
            </w:r>
          </w:p>
        </w:tc>
      </w:tr>
    </w:tbl>
    <w:p w14:paraId="57443340" w14:textId="77777777" w:rsidR="002E5059" w:rsidRPr="00630BDF" w:rsidRDefault="002E5059" w:rsidP="002E5059">
      <w:pPr>
        <w:rPr>
          <w:rFonts w:ascii="Work Sans" w:hAnsi="Work Sans"/>
        </w:rPr>
      </w:pPr>
    </w:p>
    <w:p w14:paraId="6E6EF996" w14:textId="77777777" w:rsidR="002E5059" w:rsidRPr="00630BDF" w:rsidRDefault="002E5059" w:rsidP="002E5059">
      <w:pPr>
        <w:rPr>
          <w:rFonts w:ascii="Work Sans" w:hAnsi="Work Sans"/>
        </w:rPr>
      </w:pPr>
    </w:p>
    <w:p w14:paraId="3269D971" w14:textId="77777777" w:rsidR="002E5059" w:rsidRPr="00630BDF" w:rsidRDefault="002E5059" w:rsidP="002E5059">
      <w:pPr>
        <w:rPr>
          <w:rFonts w:ascii="Work Sans" w:hAnsi="Work Sans"/>
        </w:rPr>
      </w:pPr>
    </w:p>
    <w:p w14:paraId="21C797E6" w14:textId="77777777" w:rsidR="002E5059" w:rsidRPr="00630BDF" w:rsidRDefault="002E5059" w:rsidP="002E5059">
      <w:pPr>
        <w:rPr>
          <w:rFonts w:ascii="Work Sans" w:hAnsi="Work Sans"/>
        </w:rPr>
      </w:pPr>
    </w:p>
    <w:p w14:paraId="3D39EE1F" w14:textId="77777777" w:rsidR="00BF7C69" w:rsidRPr="00630BDF" w:rsidRDefault="00BF7C69">
      <w:pPr>
        <w:rPr>
          <w:rFonts w:ascii="Work Sans" w:hAnsi="Work Sans"/>
        </w:rPr>
      </w:pPr>
    </w:p>
    <w:sectPr w:rsidR="00BF7C69" w:rsidRPr="00630BDF" w:rsidSect="002E5059">
      <w:headerReference w:type="default" r:id="rId12"/>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60E6" w14:textId="77777777" w:rsidR="002224DC" w:rsidRDefault="002224DC" w:rsidP="003026FC">
      <w:pPr>
        <w:spacing w:after="0" w:line="240" w:lineRule="auto"/>
      </w:pPr>
      <w:r>
        <w:separator/>
      </w:r>
    </w:p>
  </w:endnote>
  <w:endnote w:type="continuationSeparator" w:id="0">
    <w:p w14:paraId="245AC68A" w14:textId="77777777" w:rsidR="002224DC" w:rsidRDefault="002224DC" w:rsidP="003026FC">
      <w:pPr>
        <w:spacing w:after="0" w:line="240" w:lineRule="auto"/>
      </w:pPr>
      <w:r>
        <w:continuationSeparator/>
      </w:r>
    </w:p>
  </w:endnote>
  <w:endnote w:type="continuationNotice" w:id="1">
    <w:p w14:paraId="35C75234" w14:textId="77777777" w:rsidR="002224DC" w:rsidRDefault="00222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zald Book">
    <w:panose1 w:val="02000504000000020004"/>
    <w:charset w:val="00"/>
    <w:family w:val="modern"/>
    <w:notTrueType/>
    <w:pitch w:val="variable"/>
    <w:sig w:usb0="A10000FF" w:usb1="5001207B" w:usb2="00000000" w:usb3="00000000" w:csb0="00000093" w:csb1="00000000"/>
  </w:font>
  <w:font w:name="Work Sans">
    <w:panose1 w:val="00000000000000000000"/>
    <w:charset w:val="00"/>
    <w:family w:val="auto"/>
    <w:pitch w:val="variable"/>
    <w:sig w:usb0="20000007" w:usb1="00000001" w:usb2="00000000" w:usb3="00000000" w:csb0="000001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1D3B" w14:textId="77777777" w:rsidR="002224DC" w:rsidRDefault="002224DC" w:rsidP="003026FC">
      <w:pPr>
        <w:spacing w:after="0" w:line="240" w:lineRule="auto"/>
      </w:pPr>
      <w:r>
        <w:separator/>
      </w:r>
    </w:p>
  </w:footnote>
  <w:footnote w:type="continuationSeparator" w:id="0">
    <w:p w14:paraId="08E40F42" w14:textId="77777777" w:rsidR="002224DC" w:rsidRDefault="002224DC" w:rsidP="003026FC">
      <w:pPr>
        <w:spacing w:after="0" w:line="240" w:lineRule="auto"/>
      </w:pPr>
      <w:r>
        <w:continuationSeparator/>
      </w:r>
    </w:p>
  </w:footnote>
  <w:footnote w:type="continuationNotice" w:id="1">
    <w:p w14:paraId="58D14AF3" w14:textId="77777777" w:rsidR="002224DC" w:rsidRDefault="00222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60D5" w14:textId="7CB0E2DD" w:rsidR="002A7D5C" w:rsidRDefault="00F35269">
    <w:pPr>
      <w:pStyle w:val="Header"/>
    </w:pPr>
    <w:r>
      <w:rPr>
        <w:noProof/>
        <w14:ligatures w14:val="standardContextual"/>
      </w:rPr>
      <w:drawing>
        <wp:anchor distT="0" distB="0" distL="114300" distR="114300" simplePos="0" relativeHeight="251659265" behindDoc="0" locked="0" layoutInCell="1" allowOverlap="1" wp14:anchorId="1E2A6E33" wp14:editId="5EDE9828">
          <wp:simplePos x="0" y="0"/>
          <wp:positionH relativeFrom="column">
            <wp:posOffset>5183150</wp:posOffset>
          </wp:positionH>
          <wp:positionV relativeFrom="paragraph">
            <wp:posOffset>-142925</wp:posOffset>
          </wp:positionV>
          <wp:extent cx="1111885" cy="672465"/>
          <wp:effectExtent l="0" t="0" r="0" b="0"/>
          <wp:wrapSquare wrapText="bothSides"/>
          <wp:docPr id="1957893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93375" name="Picture 1957893375"/>
                  <pic:cNvPicPr/>
                </pic:nvPicPr>
                <pic:blipFill>
                  <a:blip r:embed="rId1">
                    <a:extLst>
                      <a:ext uri="{28A0092B-C50C-407E-A947-70E740481C1C}">
                        <a14:useLocalDpi xmlns:a14="http://schemas.microsoft.com/office/drawing/2010/main" val="0"/>
                      </a:ext>
                    </a:extLst>
                  </a:blip>
                  <a:stretch>
                    <a:fillRect/>
                  </a:stretch>
                </pic:blipFill>
                <pic:spPr>
                  <a:xfrm>
                    <a:off x="0" y="0"/>
                    <a:ext cx="1111885" cy="672465"/>
                  </a:xfrm>
                  <a:prstGeom prst="rect">
                    <a:avLst/>
                  </a:prstGeom>
                </pic:spPr>
              </pic:pic>
            </a:graphicData>
          </a:graphic>
        </wp:anchor>
      </w:drawing>
    </w:r>
    <w:r w:rsidR="009029E5">
      <w:rPr>
        <w:noProof/>
        <w14:ligatures w14:val="standardContextual"/>
      </w:rPr>
      <w:drawing>
        <wp:anchor distT="0" distB="0" distL="114300" distR="114300" simplePos="0" relativeHeight="251658241" behindDoc="0" locked="0" layoutInCell="1" allowOverlap="1" wp14:anchorId="51D8B6BF" wp14:editId="34858A50">
          <wp:simplePos x="0" y="0"/>
          <wp:positionH relativeFrom="margin">
            <wp:align>left</wp:align>
          </wp:positionH>
          <wp:positionV relativeFrom="paragraph">
            <wp:posOffset>-212090</wp:posOffset>
          </wp:positionV>
          <wp:extent cx="695325" cy="738505"/>
          <wp:effectExtent l="0" t="0" r="9525" b="4445"/>
          <wp:wrapSquare wrapText="bothSides"/>
          <wp:docPr id="1447868755" name="Picture 1447868755"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68755" name="Picture 1" descr="A logo with colorful circl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5325" cy="738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1D7A62"/>
    <w:multiLevelType w:val="hybridMultilevel"/>
    <w:tmpl w:val="E9503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1E4EC4"/>
    <w:multiLevelType w:val="hybridMultilevel"/>
    <w:tmpl w:val="1B62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1671476">
    <w:abstractNumId w:val="0"/>
  </w:num>
  <w:num w:numId="2" w16cid:durableId="1169835706">
    <w:abstractNumId w:val="1"/>
  </w:num>
  <w:num w:numId="3" w16cid:durableId="1373262442">
    <w:abstractNumId w:val="3"/>
  </w:num>
  <w:num w:numId="4" w16cid:durableId="1147553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59"/>
    <w:rsid w:val="00026973"/>
    <w:rsid w:val="000B57CC"/>
    <w:rsid w:val="000C0F33"/>
    <w:rsid w:val="000F60F2"/>
    <w:rsid w:val="000F6B88"/>
    <w:rsid w:val="0010070A"/>
    <w:rsid w:val="001107AB"/>
    <w:rsid w:val="0011715C"/>
    <w:rsid w:val="00120194"/>
    <w:rsid w:val="00123563"/>
    <w:rsid w:val="00133D9B"/>
    <w:rsid w:val="00144BBD"/>
    <w:rsid w:val="00171D24"/>
    <w:rsid w:val="00184C37"/>
    <w:rsid w:val="00184E79"/>
    <w:rsid w:val="00187F06"/>
    <w:rsid w:val="00191B3C"/>
    <w:rsid w:val="00194766"/>
    <w:rsid w:val="001A16B0"/>
    <w:rsid w:val="001D7CBF"/>
    <w:rsid w:val="002074E8"/>
    <w:rsid w:val="002118FE"/>
    <w:rsid w:val="00220B62"/>
    <w:rsid w:val="00221985"/>
    <w:rsid w:val="002224DC"/>
    <w:rsid w:val="00272511"/>
    <w:rsid w:val="002A7D5C"/>
    <w:rsid w:val="002B297D"/>
    <w:rsid w:val="002B6D2D"/>
    <w:rsid w:val="002C6C15"/>
    <w:rsid w:val="002D321B"/>
    <w:rsid w:val="002E401C"/>
    <w:rsid w:val="002E5059"/>
    <w:rsid w:val="002F5A6D"/>
    <w:rsid w:val="00301943"/>
    <w:rsid w:val="003026FC"/>
    <w:rsid w:val="00306BF7"/>
    <w:rsid w:val="00315E34"/>
    <w:rsid w:val="00321D22"/>
    <w:rsid w:val="003378D7"/>
    <w:rsid w:val="00343315"/>
    <w:rsid w:val="00347831"/>
    <w:rsid w:val="0037685D"/>
    <w:rsid w:val="003A2BC6"/>
    <w:rsid w:val="003A3F98"/>
    <w:rsid w:val="003F61AA"/>
    <w:rsid w:val="00401F43"/>
    <w:rsid w:val="004213A8"/>
    <w:rsid w:val="00427EF2"/>
    <w:rsid w:val="00440D4C"/>
    <w:rsid w:val="004641F7"/>
    <w:rsid w:val="004670C9"/>
    <w:rsid w:val="004670F8"/>
    <w:rsid w:val="00484B7B"/>
    <w:rsid w:val="004B0761"/>
    <w:rsid w:val="005138E1"/>
    <w:rsid w:val="00531B75"/>
    <w:rsid w:val="00537F9E"/>
    <w:rsid w:val="00545646"/>
    <w:rsid w:val="005536FA"/>
    <w:rsid w:val="00560F94"/>
    <w:rsid w:val="0057295B"/>
    <w:rsid w:val="00590C43"/>
    <w:rsid w:val="00596DDC"/>
    <w:rsid w:val="005A560B"/>
    <w:rsid w:val="005B5E9A"/>
    <w:rsid w:val="005D0820"/>
    <w:rsid w:val="005D2B52"/>
    <w:rsid w:val="005F126F"/>
    <w:rsid w:val="00602520"/>
    <w:rsid w:val="0061731E"/>
    <w:rsid w:val="0062635B"/>
    <w:rsid w:val="00630BDF"/>
    <w:rsid w:val="006336C2"/>
    <w:rsid w:val="00647B2F"/>
    <w:rsid w:val="006975D1"/>
    <w:rsid w:val="006B0F33"/>
    <w:rsid w:val="006D11FB"/>
    <w:rsid w:val="00705AFA"/>
    <w:rsid w:val="00732A75"/>
    <w:rsid w:val="007577D3"/>
    <w:rsid w:val="00795675"/>
    <w:rsid w:val="007B1453"/>
    <w:rsid w:val="007B326F"/>
    <w:rsid w:val="007F3FC4"/>
    <w:rsid w:val="008107A6"/>
    <w:rsid w:val="00830BB2"/>
    <w:rsid w:val="0083728A"/>
    <w:rsid w:val="008E4588"/>
    <w:rsid w:val="008F0EB6"/>
    <w:rsid w:val="008F59F6"/>
    <w:rsid w:val="009029E5"/>
    <w:rsid w:val="00917743"/>
    <w:rsid w:val="00924426"/>
    <w:rsid w:val="009632BF"/>
    <w:rsid w:val="00965FF2"/>
    <w:rsid w:val="00967F89"/>
    <w:rsid w:val="00971A7B"/>
    <w:rsid w:val="00974D1C"/>
    <w:rsid w:val="00990E6B"/>
    <w:rsid w:val="009D33CF"/>
    <w:rsid w:val="009F04F8"/>
    <w:rsid w:val="00A10BEC"/>
    <w:rsid w:val="00A1554B"/>
    <w:rsid w:val="00A305AC"/>
    <w:rsid w:val="00A33EF8"/>
    <w:rsid w:val="00A94621"/>
    <w:rsid w:val="00AA1E39"/>
    <w:rsid w:val="00AB2A55"/>
    <w:rsid w:val="00AB704F"/>
    <w:rsid w:val="00B17317"/>
    <w:rsid w:val="00B51088"/>
    <w:rsid w:val="00B52BCF"/>
    <w:rsid w:val="00B7537F"/>
    <w:rsid w:val="00B91D28"/>
    <w:rsid w:val="00BA7B98"/>
    <w:rsid w:val="00BC1B33"/>
    <w:rsid w:val="00BC35B9"/>
    <w:rsid w:val="00BD1866"/>
    <w:rsid w:val="00BD5A1C"/>
    <w:rsid w:val="00BD72AD"/>
    <w:rsid w:val="00BF0CEA"/>
    <w:rsid w:val="00BF7C69"/>
    <w:rsid w:val="00C27D78"/>
    <w:rsid w:val="00C36341"/>
    <w:rsid w:val="00C372F0"/>
    <w:rsid w:val="00C55405"/>
    <w:rsid w:val="00CD6F7F"/>
    <w:rsid w:val="00CD71E5"/>
    <w:rsid w:val="00CF27E4"/>
    <w:rsid w:val="00CF4B5D"/>
    <w:rsid w:val="00D10F79"/>
    <w:rsid w:val="00D20B35"/>
    <w:rsid w:val="00D575AC"/>
    <w:rsid w:val="00DA0546"/>
    <w:rsid w:val="00DE4851"/>
    <w:rsid w:val="00DE4AE9"/>
    <w:rsid w:val="00E47331"/>
    <w:rsid w:val="00E679CD"/>
    <w:rsid w:val="00E924CE"/>
    <w:rsid w:val="00EB7D35"/>
    <w:rsid w:val="00F10B31"/>
    <w:rsid w:val="00F23DAA"/>
    <w:rsid w:val="00F31742"/>
    <w:rsid w:val="00F35269"/>
    <w:rsid w:val="00F52D80"/>
    <w:rsid w:val="00F87DD6"/>
    <w:rsid w:val="00FB0532"/>
    <w:rsid w:val="00FE56D6"/>
    <w:rsid w:val="00FF4F15"/>
    <w:rsid w:val="03CF4151"/>
    <w:rsid w:val="04F5EAA8"/>
    <w:rsid w:val="07E5716C"/>
    <w:rsid w:val="19A9E3AA"/>
    <w:rsid w:val="19AD2096"/>
    <w:rsid w:val="3555FD7F"/>
    <w:rsid w:val="36B6FE4E"/>
    <w:rsid w:val="3A419424"/>
    <w:rsid w:val="46F03045"/>
    <w:rsid w:val="65B18A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07BF9"/>
  <w15:chartTrackingRefBased/>
  <w15:docId w15:val="{6B0AA428-5E85-41D1-9401-E53AC707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059"/>
    <w:rPr>
      <w:kern w:val="0"/>
      <w14:ligatures w14:val="none"/>
    </w:rPr>
  </w:style>
  <w:style w:type="paragraph" w:styleId="Heading1">
    <w:name w:val="heading 1"/>
    <w:basedOn w:val="Normal"/>
    <w:next w:val="Normal"/>
    <w:link w:val="Heading1Char"/>
    <w:uiPriority w:val="9"/>
    <w:qFormat/>
    <w:rsid w:val="002E50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0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0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0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0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0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0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0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0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059"/>
    <w:rPr>
      <w:rFonts w:eastAsiaTheme="majorEastAsia" w:cstheme="majorBidi"/>
      <w:color w:val="272727" w:themeColor="text1" w:themeTint="D8"/>
    </w:rPr>
  </w:style>
  <w:style w:type="paragraph" w:styleId="Title">
    <w:name w:val="Title"/>
    <w:basedOn w:val="Normal"/>
    <w:next w:val="Normal"/>
    <w:link w:val="TitleChar"/>
    <w:uiPriority w:val="10"/>
    <w:qFormat/>
    <w:rsid w:val="002E5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59"/>
    <w:pPr>
      <w:spacing w:before="160"/>
      <w:jc w:val="center"/>
    </w:pPr>
    <w:rPr>
      <w:i/>
      <w:iCs/>
      <w:color w:val="404040" w:themeColor="text1" w:themeTint="BF"/>
    </w:rPr>
  </w:style>
  <w:style w:type="character" w:customStyle="1" w:styleId="QuoteChar">
    <w:name w:val="Quote Char"/>
    <w:basedOn w:val="DefaultParagraphFont"/>
    <w:link w:val="Quote"/>
    <w:uiPriority w:val="29"/>
    <w:rsid w:val="002E5059"/>
    <w:rPr>
      <w:i/>
      <w:iCs/>
      <w:color w:val="404040" w:themeColor="text1" w:themeTint="BF"/>
    </w:rPr>
  </w:style>
  <w:style w:type="paragraph" w:styleId="ListParagraph">
    <w:name w:val="List Paragraph"/>
    <w:basedOn w:val="Normal"/>
    <w:uiPriority w:val="34"/>
    <w:qFormat/>
    <w:rsid w:val="002E5059"/>
    <w:pPr>
      <w:ind w:left="720"/>
      <w:contextualSpacing/>
    </w:pPr>
  </w:style>
  <w:style w:type="character" w:styleId="IntenseEmphasis">
    <w:name w:val="Intense Emphasis"/>
    <w:basedOn w:val="DefaultParagraphFont"/>
    <w:uiPriority w:val="21"/>
    <w:qFormat/>
    <w:rsid w:val="002E5059"/>
    <w:rPr>
      <w:i/>
      <w:iCs/>
      <w:color w:val="2F5496" w:themeColor="accent1" w:themeShade="BF"/>
    </w:rPr>
  </w:style>
  <w:style w:type="paragraph" w:styleId="IntenseQuote">
    <w:name w:val="Intense Quote"/>
    <w:basedOn w:val="Normal"/>
    <w:next w:val="Normal"/>
    <w:link w:val="IntenseQuoteChar"/>
    <w:uiPriority w:val="30"/>
    <w:qFormat/>
    <w:rsid w:val="002E5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059"/>
    <w:rPr>
      <w:i/>
      <w:iCs/>
      <w:color w:val="2F5496" w:themeColor="accent1" w:themeShade="BF"/>
    </w:rPr>
  </w:style>
  <w:style w:type="character" w:styleId="IntenseReference">
    <w:name w:val="Intense Reference"/>
    <w:basedOn w:val="DefaultParagraphFont"/>
    <w:uiPriority w:val="32"/>
    <w:qFormat/>
    <w:rsid w:val="002E5059"/>
    <w:rPr>
      <w:b/>
      <w:bCs/>
      <w:smallCaps/>
      <w:color w:val="2F5496" w:themeColor="accent1" w:themeShade="BF"/>
      <w:spacing w:val="5"/>
    </w:rPr>
  </w:style>
  <w:style w:type="table" w:styleId="TableGrid">
    <w:name w:val="Table Grid"/>
    <w:basedOn w:val="TableNormal"/>
    <w:uiPriority w:val="39"/>
    <w:rsid w:val="002E50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5059"/>
    <w:pPr>
      <w:spacing w:after="0" w:line="240" w:lineRule="auto"/>
    </w:pPr>
    <w:rPr>
      <w:kern w:val="0"/>
      <w14:ligatures w14:val="none"/>
    </w:rPr>
  </w:style>
  <w:style w:type="character" w:styleId="Hyperlink">
    <w:name w:val="Hyperlink"/>
    <w:basedOn w:val="DefaultParagraphFont"/>
    <w:uiPriority w:val="99"/>
    <w:unhideWhenUsed/>
    <w:rsid w:val="002E5059"/>
    <w:rPr>
      <w:color w:val="0000FF"/>
      <w:u w:val="single"/>
    </w:rPr>
  </w:style>
  <w:style w:type="paragraph" w:styleId="Header">
    <w:name w:val="header"/>
    <w:basedOn w:val="Normal"/>
    <w:link w:val="HeaderChar"/>
    <w:uiPriority w:val="99"/>
    <w:unhideWhenUsed/>
    <w:rsid w:val="002E5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059"/>
    <w:rPr>
      <w:kern w:val="0"/>
      <w14:ligatures w14:val="none"/>
    </w:rPr>
  </w:style>
  <w:style w:type="character" w:styleId="UnresolvedMention">
    <w:name w:val="Unresolved Mention"/>
    <w:basedOn w:val="DefaultParagraphFont"/>
    <w:uiPriority w:val="99"/>
    <w:semiHidden/>
    <w:unhideWhenUsed/>
    <w:rsid w:val="00531B75"/>
    <w:rPr>
      <w:color w:val="605E5C"/>
      <w:shd w:val="clear" w:color="auto" w:fill="E1DFDD"/>
    </w:rPr>
  </w:style>
  <w:style w:type="character" w:styleId="FollowedHyperlink">
    <w:name w:val="FollowedHyperlink"/>
    <w:basedOn w:val="DefaultParagraphFont"/>
    <w:uiPriority w:val="99"/>
    <w:semiHidden/>
    <w:unhideWhenUsed/>
    <w:rsid w:val="003378D7"/>
    <w:rPr>
      <w:color w:val="954F72" w:themeColor="followedHyperlink"/>
      <w:u w:val="single"/>
    </w:rPr>
  </w:style>
  <w:style w:type="paragraph" w:styleId="Footer">
    <w:name w:val="footer"/>
    <w:basedOn w:val="Normal"/>
    <w:link w:val="FooterChar"/>
    <w:uiPriority w:val="99"/>
    <w:unhideWhenUsed/>
    <w:rsid w:val="00302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6FC"/>
    <w:rPr>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29E5"/>
    <w:pPr>
      <w:spacing w:after="0" w:line="240" w:lineRule="auto"/>
    </w:pPr>
    <w:rPr>
      <w:kern w:val="0"/>
      <w14:ligatures w14:val="none"/>
    </w:rPr>
  </w:style>
  <w:style w:type="paragraph" w:styleId="NormalWeb">
    <w:name w:val="Normal (Web)"/>
    <w:basedOn w:val="Normal"/>
    <w:uiPriority w:val="99"/>
    <w:unhideWhenUsed/>
    <w:rsid w:val="00630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379853">
      <w:bodyDiv w:val="1"/>
      <w:marLeft w:val="0"/>
      <w:marRight w:val="0"/>
      <w:marTop w:val="0"/>
      <w:marBottom w:val="0"/>
      <w:divBdr>
        <w:top w:val="none" w:sz="0" w:space="0" w:color="auto"/>
        <w:left w:val="none" w:sz="0" w:space="0" w:color="auto"/>
        <w:bottom w:val="none" w:sz="0" w:space="0" w:color="auto"/>
        <w:right w:val="none" w:sz="0" w:space="0" w:color="auto"/>
      </w:divBdr>
    </w:div>
    <w:div w:id="18835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es.org/resources/counting-net-gai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531c7-eb33-48be-9889-ee787ffa7851">
      <Terms xmlns="http://schemas.microsoft.com/office/infopath/2007/PartnerControls"/>
    </lcf76f155ced4ddcb4097134ff3c332f>
    <TaxCatchAll xmlns="36d7926d-c934-413c-9e6d-038f771d3a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8" ma:contentTypeDescription="Create a new document." ma:contentTypeScope="" ma:versionID="d1adc84a6638ffa5e6aee933bdd65bd3">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96c03a4dfcc5d6754b956c2bf92421af"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7845a0-c36c-4b7a-8df5-0d2d7e2599f0}" ma:internalName="TaxCatchAll" ma:showField="CatchAllData" ma:web="36d7926d-c934-413c-9e6d-038f771d3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887F2-00B6-4576-BA7C-1852054F2347}">
  <ds:schemaRefs>
    <ds:schemaRef ds:uri="http://schemas.microsoft.com/office/2006/metadata/properties"/>
    <ds:schemaRef ds:uri="http://schemas.microsoft.com/office/infopath/2007/PartnerControls"/>
    <ds:schemaRef ds:uri="af2531c7-eb33-48be-9889-ee787ffa7851"/>
    <ds:schemaRef ds:uri="36d7926d-c934-413c-9e6d-038f771d3aae"/>
  </ds:schemaRefs>
</ds:datastoreItem>
</file>

<file path=customXml/itemProps2.xml><?xml version="1.0" encoding="utf-8"?>
<ds:datastoreItem xmlns:ds="http://schemas.openxmlformats.org/officeDocument/2006/customXml" ds:itemID="{A542A527-F327-42C6-BFE9-732C5D68C5E0}">
  <ds:schemaRefs>
    <ds:schemaRef ds:uri="http://schemas.microsoft.com/sharepoint/v3/contenttype/forms"/>
  </ds:schemaRefs>
</ds:datastoreItem>
</file>

<file path=customXml/itemProps3.xml><?xml version="1.0" encoding="utf-8"?>
<ds:datastoreItem xmlns:ds="http://schemas.openxmlformats.org/officeDocument/2006/customXml" ds:itemID="{2329B061-2992-4FE4-A12F-7BD54ADA1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Rowland</dc:creator>
  <cp:keywords/>
  <dc:description/>
  <cp:lastModifiedBy>Lucy Rowland</cp:lastModifiedBy>
  <cp:revision>77</cp:revision>
  <dcterms:created xsi:type="dcterms:W3CDTF">2024-08-15T15:05:00Z</dcterms:created>
  <dcterms:modified xsi:type="dcterms:W3CDTF">2024-11-11T13:53:00Z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y fmtid="{D5CDD505-2E9C-101B-9397-08002B2CF9AE}" pid="3" name="MediaServiceImageTags">
    <vt:lpwstr/>
  </property>
</Properties>
</file>